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TLA Committee Meeting Minutes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March 9, 2020 1:30 pm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Hetzel Hoellein Special Collections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Present: Colleen Packer, Rachel Cox, Francois Giraud-Carrier, Shane Clampitt, R.C. Morris, Jessica Westover, Sheryl Rushton, Lindsay Garr, Ryan Dunn, Shelly Belflower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Excused: Caitlin Byrne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Minutes from the last meeting will be emailed to the committee for review.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on TLF/CTL Progress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real change since our last meeting.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are still hoping for space in Lampros Hall, but that is not sure yet.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Nomination/ Selection Criteria for Last Lecture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Nominee can present within the year of retirement.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Nominee is anticipated to retire within 5 years. If not within 5 years of retirement, is there a compelling reason for the nominee to present a last lecture sooner?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Nominee has extensive experience and a message.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Nominee has taught at a university, been active in their field of expertise, or made innovative contributions over the last 25 years.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Decision to keep the current criteria.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will send out a call for nominations to faculty.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Faculty Symposium March 25, 2020 12-4:30pm (This event was cancelled and moved to online format because of Covid-19 pandemic.)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will post Presidential Awardees on the website.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Red Rock Great Teachers Retreat was a success.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Inclusive Teaching Institute RS&amp;PG Grant partial funding in conjunction with the Center for Diversity.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adjourned 2:00pm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Shelly moved to adjourn.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R.C. Morris seconded motion.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Motion passed.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