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92365"/>
          <w:sz w:val="32"/>
          <w:szCs w:val="32"/>
          <w:rtl w:val="0"/>
        </w:rPr>
        <w:t xml:space="preserve">ACCOUNTING REVIEW FOR APPROVAL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color w:val="492365"/>
        </w:rPr>
      </w:pPr>
      <w:r w:rsidDel="00000000" w:rsidR="00000000" w:rsidRPr="00000000">
        <w:rPr>
          <w:rFonts w:ascii="Arial Narrow" w:cs="Arial Narrow" w:eastAsia="Arial Narrow" w:hAnsi="Arial Narrow"/>
          <w:color w:val="492365"/>
          <w:rtl w:val="0"/>
        </w:rPr>
        <w:t xml:space="preserve">Communication and process for accounting’s review of budget and index number requests</w:t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  <w:rtl w:val="0"/>
        </w:rPr>
        <w:t xml:space="preserve">REVIEWING PENDING REQUESTS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575047"/>
          <w:sz w:val="28"/>
          <w:szCs w:val="28"/>
          <w:rtl w:val="0"/>
        </w:rPr>
        <w:t xml:space="preserve">Login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 to SmartGrant via eWeber app: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</w:rPr>
        <w:drawing>
          <wp:inline distB="0" distT="0" distL="0" distR="0">
            <wp:extent cx="2015466" cy="1197947"/>
            <wp:effectExtent b="0" l="0" r="0" t="0"/>
            <wp:docPr id="2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5466" cy="11979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Click the “Weber State University” icon on the bottom right and sign in using your WSU login credentials—Duo approval will be required: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</w:rPr>
        <w:drawing>
          <wp:inline distB="0" distT="0" distL="0" distR="0">
            <wp:extent cx="3558294" cy="2414013"/>
            <wp:effectExtent b="0" l="0" r="0" t="0"/>
            <wp:docPr id="2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8294" cy="2414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After a signing in, the SmartGrant home screen will display your “To do list”— click on “View detail”:</w:t>
      </w:r>
    </w:p>
    <w:p w:rsidR="00000000" w:rsidDel="00000000" w:rsidP="00000000" w:rsidRDefault="00000000" w:rsidRPr="00000000" w14:paraId="0000000A">
      <w:pPr>
        <w:ind w:left="360"/>
        <w:rPr>
          <w:rFonts w:ascii="Arial Narrow" w:cs="Arial Narrow" w:eastAsia="Arial Narrow" w:hAnsi="Arial Narrow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575047"/>
          <w:sz w:val="28"/>
          <w:szCs w:val="28"/>
        </w:rPr>
        <w:drawing>
          <wp:inline distB="0" distT="0" distL="0" distR="0">
            <wp:extent cx="2287521" cy="1903759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7521" cy="1903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All pending tasks will be displayed. To access an individual task, click on the blue pencil icon to the left of the GAID number: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882764" cy="3798749"/>
            <wp:effectExtent b="0" l="0" r="0" t="0"/>
            <wp:docPr id="2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2764" cy="37987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The budget will be displayed, including all index numbers and Account codes. Select “Revision Approval” on the top, near right menu in red text: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535317" cy="3512448"/>
            <wp:effectExtent b="0" l="0" r="0" t="0"/>
            <wp:docPr id="2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5317" cy="35124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To view Account Code breakdowns, click on the blue pencil icon on the left of the selected Account Code. This screen will display:</w:t>
      </w:r>
    </w:p>
    <w:p w:rsidR="00000000" w:rsidDel="00000000" w:rsidP="00000000" w:rsidRDefault="00000000" w:rsidRPr="00000000" w14:paraId="00000012">
      <w:pPr>
        <w:ind w:left="360"/>
        <w:rPr>
          <w:rFonts w:ascii="Arial Narrow" w:cs="Arial Narrow" w:eastAsia="Arial Narrow" w:hAnsi="Arial Narrow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575047"/>
          <w:sz w:val="28"/>
          <w:szCs w:val="28"/>
        </w:rPr>
        <w:drawing>
          <wp:inline distB="0" distT="0" distL="0" distR="0">
            <wp:extent cx="4643933" cy="3572257"/>
            <wp:effectExtent b="0" l="0" r="0" t="0"/>
            <wp:docPr id="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3933" cy="3572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To view an individual index number breakdown, click on the selected index number column:</w:t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575047"/>
          <w:sz w:val="28"/>
          <w:szCs w:val="28"/>
        </w:rPr>
        <w:drawing>
          <wp:inline distB="0" distT="0" distL="0" distR="0">
            <wp:extent cx="4667594" cy="3573502"/>
            <wp:effectExtent b="0" l="0" r="0" t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594" cy="3573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color w:val="5750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This is what the index number display looks like: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906345" cy="2999038"/>
            <wp:effectExtent b="0" l="0" r="0" t="0"/>
            <wp:docPr id="2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345" cy="2999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To approve or reject an initial budget or budget revision, click “Signature”: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/>
        <w:rPr>
          <w:rFonts w:ascii="Arial Narrow" w:cs="Arial Narrow" w:eastAsia="Arial Narrow" w:hAnsi="Arial Narrow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575047"/>
          <w:sz w:val="28"/>
          <w:szCs w:val="28"/>
        </w:rPr>
        <w:drawing>
          <wp:inline distB="0" distT="0" distL="0" distR="0">
            <wp:extent cx="5015086" cy="3879726"/>
            <wp:effectExtent b="0" l="0" r="0" t="0"/>
            <wp:docPr id="2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5086" cy="3879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/>
        <w:rPr>
          <w:rFonts w:ascii="Arial Narrow" w:cs="Arial Narrow" w:eastAsia="Arial Narrow" w:hAnsi="Arial Narrow"/>
          <w:color w:val="5750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/>
        <w:rPr>
          <w:rFonts w:ascii="Arial Narrow" w:cs="Arial Narrow" w:eastAsia="Arial Narrow" w:hAnsi="Arial Narrow"/>
          <w:color w:val="5750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Under the “CG Contracts &amp; Grants” section, select from the left dropdown to Approve or Reject and include necessary notes in the “Comments:” section: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943600" cy="4596765"/>
            <wp:effectExtent b="0" l="0" r="0" t="0"/>
            <wp:docPr id="3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  <w:rtl w:val="0"/>
        </w:rPr>
        <w:t xml:space="preserve">Select “Update”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57504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  <w:rtl w:val="0"/>
        </w:rPr>
        <w:t xml:space="preserve">SENDING EMAILS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SmartGrant, select relevant award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On the top menu, select “Communications”</w:t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638800" cy="923925"/>
            <wp:effectExtent b="0" l="0" r="0" t="0"/>
            <wp:docPr id="3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 pop-up box will open, select “Add”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4648200"/>
            <wp:effectExtent b="0" l="0" r="0" t="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the communication pop-up, complete the following: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Subject: 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Medium: select “Email”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Type: 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Email Source: leave blank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Public/Private: “Public”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Send Email: select the box, then click on the person icon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ind w:left="2160" w:hanging="360"/>
        <w:rPr>
          <w:rFonts w:ascii="Arial" w:cs="Arial" w:eastAsia="Arial" w:hAnsi="Arial"/>
          <w:color w:val="575047"/>
        </w:rPr>
      </w:pPr>
      <w:bookmarkStart w:colFirst="0" w:colLast="0" w:name="_heading=h.ooic3hnjulga" w:id="1"/>
      <w:bookmarkEnd w:id="1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You will be prompted to choose from auto-populated lists based on the PIs department chair, dean, or co-PIs 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ind w:left="2160" w:hanging="360"/>
        <w:rPr>
          <w:rFonts w:ascii="Arial" w:cs="Arial" w:eastAsia="Arial" w:hAnsi="Arial"/>
          <w:color w:val="575047"/>
        </w:rPr>
      </w:pPr>
      <w:bookmarkStart w:colFirst="0" w:colLast="0" w:name="_heading=h.af0jufeej0zf" w:id="2"/>
      <w:bookmarkEnd w:id="2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Select recipients to send email to, including CC and BCC options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4wqnybqe71in" w:id="3"/>
      <w:bookmarkEnd w:id="3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Attachments: click on the paperclip icon to choose attachments to send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Communication Text: type personalized note.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 Important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— include instructions for email recipients to respond directly to the original email. This ensures communications are logged within SmartGrant, without having to upload emails, notes or other files. 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rFonts w:ascii="Arial" w:cs="Arial" w:eastAsia="Arial" w:hAnsi="Arial"/>
          <w:i w:val="1"/>
          <w:color w:val="575047"/>
        </w:rPr>
      </w:pPr>
      <w:bookmarkStart w:colFirst="0" w:colLast="0" w:name="_heading=h.29xqo5ko8oen" w:id="4"/>
      <w:bookmarkEnd w:id="4"/>
      <w:r w:rsidDel="00000000" w:rsidR="00000000" w:rsidRPr="00000000">
        <w:rPr>
          <w:rFonts w:ascii="Arial" w:cs="Arial" w:eastAsia="Arial" w:hAnsi="Arial"/>
          <w:i w:val="1"/>
          <w:color w:val="575047"/>
          <w:rtl w:val="0"/>
        </w:rPr>
        <w:t xml:space="preserve">Suggested text: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To submit, reply directly to this email with completed forms attached. Subject line MUST include [GAID156] before all other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8hxagvxu413i" w:id="5"/>
      <w:bookmarkEnd w:id="5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Update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575047"/>
        </w:rPr>
      </w:pPr>
      <w:bookmarkStart w:colFirst="0" w:colLast="0" w:name="_heading=h.5yn41thrkq40" w:id="6"/>
      <w:bookmarkEnd w:id="6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4597400"/>
            <wp:effectExtent b="0" l="0" r="0" t="0"/>
            <wp:docPr id="3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575047"/>
        </w:rPr>
      </w:pPr>
      <w:bookmarkStart w:colFirst="0" w:colLast="0" w:name="_heading=h.3ncu3x69cjv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  <w:rtl w:val="0"/>
        </w:rPr>
        <w:t xml:space="preserve">ADDING NOTES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SmartGrant, select relevant award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On the top menu, select “Communications”</w:t>
      </w:r>
    </w:p>
    <w:p w:rsidR="00000000" w:rsidDel="00000000" w:rsidP="00000000" w:rsidRDefault="00000000" w:rsidRPr="00000000" w14:paraId="00000049">
      <w:pPr>
        <w:rPr>
          <w:rFonts w:ascii="Arial Narrow" w:cs="Arial Narrow" w:eastAsia="Arial Narrow" w:hAnsi="Arial Narrow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638800" cy="923925"/>
            <wp:effectExtent b="0" l="0" r="0" t="0"/>
            <wp:docPr id="3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</w:rPr>
      </w:pPr>
      <w:bookmarkStart w:colFirst="0" w:colLast="0" w:name="_heading=h.ed06cnexjs4o" w:id="8"/>
      <w:bookmarkEnd w:id="8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 pop-up box will open, select “Add”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575047"/>
        </w:rPr>
      </w:pPr>
      <w:bookmarkStart w:colFirst="0" w:colLast="0" w:name="_heading=h.30ohjqa2ek67" w:id="9"/>
      <w:bookmarkEnd w:id="9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4648200"/>
            <wp:effectExtent b="0" l="0" r="0" t="0"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575047"/>
        </w:rPr>
      </w:pPr>
      <w:bookmarkStart w:colFirst="0" w:colLast="0" w:name="_heading=h.9g4p85se6np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</w:rPr>
      </w:pPr>
      <w:bookmarkStart w:colFirst="0" w:colLast="0" w:name="_heading=h.dnw78osvn1tm" w:id="11"/>
      <w:bookmarkEnd w:id="11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the communication pop-up, complete the following: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faq2xacbw8j2" w:id="12"/>
      <w:bookmarkEnd w:id="12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Subject: 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rntjjuq8r2sw" w:id="13"/>
      <w:bookmarkEnd w:id="13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Medium: select “Note to File”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urs6b599x143" w:id="14"/>
      <w:bookmarkEnd w:id="14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Type: 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baxh3239kxx0" w:id="15"/>
      <w:bookmarkEnd w:id="15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Email Source: leave blank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530xwfuf04ab" w:id="16"/>
      <w:bookmarkEnd w:id="16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Public/Private: “Public”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ldt1nq60ey4u" w:id="17"/>
      <w:bookmarkEnd w:id="17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Send Email: leave blank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fh5l8c0mep0" w:id="18"/>
      <w:bookmarkEnd w:id="18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Attachments: click on the paperclip icon to choose attachments to send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u0f2t7c6icum" w:id="19"/>
      <w:bookmarkEnd w:id="19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Communication Text: type personalized note.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</w:rPr>
      </w:pPr>
      <w:bookmarkStart w:colFirst="0" w:colLast="0" w:name="_heading=h.cebeibjzpxh4" w:id="20"/>
      <w:bookmarkEnd w:id="20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Update</w:t>
      </w:r>
    </w:p>
    <w:p w:rsidR="00000000" w:rsidDel="00000000" w:rsidP="00000000" w:rsidRDefault="00000000" w:rsidRPr="00000000" w14:paraId="00000058">
      <w:pPr>
        <w:ind w:left="720"/>
        <w:rPr>
          <w:rFonts w:ascii="Arial" w:cs="Arial" w:eastAsia="Arial" w:hAnsi="Arial"/>
          <w:color w:val="575047"/>
        </w:rPr>
      </w:pPr>
      <w:bookmarkStart w:colFirst="0" w:colLast="0" w:name="_heading=h.2zq0bttdlg78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/>
        <w:rPr>
          <w:rFonts w:ascii="Arial" w:cs="Arial" w:eastAsia="Arial" w:hAnsi="Arial"/>
          <w:color w:val="575047"/>
        </w:rPr>
      </w:pPr>
      <w:bookmarkStart w:colFirst="0" w:colLast="0" w:name="_heading=h.6ubl1glrdys0" w:id="22"/>
      <w:bookmarkEnd w:id="22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5346700"/>
            <wp:effectExtent b="0" l="0" r="0" t="0"/>
            <wp:docPr id="3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/>
        <w:rPr>
          <w:rFonts w:ascii="Arial" w:cs="Arial" w:eastAsia="Arial" w:hAnsi="Arial"/>
          <w:color w:val="575047"/>
        </w:rPr>
      </w:pPr>
      <w:bookmarkStart w:colFirst="0" w:colLast="0" w:name="_heading=h.ivfnkyj439u8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  <w:rtl w:val="0"/>
        </w:rPr>
        <w:t xml:space="preserve">VIEWING COMMUNICATIONS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SmartGrant, select relevant award 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On the top menu, select “Communications”</w:t>
      </w:r>
    </w:p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575047"/>
        </w:rPr>
      </w:pPr>
      <w:bookmarkStart w:colFirst="0" w:colLast="0" w:name="_heading=h.gjdgxs" w:id="24"/>
      <w:bookmarkEnd w:id="24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638800" cy="923925"/>
            <wp:effectExtent b="0" l="0" r="0" t="0"/>
            <wp:docPr id="3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/>
        <w:rPr>
          <w:rFonts w:ascii="Arial" w:cs="Arial" w:eastAsia="Arial" w:hAnsi="Arial"/>
          <w:color w:val="575047"/>
        </w:rPr>
      </w:pPr>
      <w:bookmarkStart w:colFirst="0" w:colLast="0" w:name="_heading=h.m4n571k2cl3v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1440" w:hanging="360"/>
        <w:rPr>
          <w:rFonts w:ascii="Arial" w:cs="Arial" w:eastAsia="Arial" w:hAnsi="Arial"/>
          <w:color w:val="575047"/>
        </w:rPr>
      </w:pPr>
      <w:bookmarkStart w:colFirst="0" w:colLast="0" w:name="_heading=h.1hri2yi148is" w:id="26"/>
      <w:bookmarkEnd w:id="26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Select “Edit” icon on left of communication to open, view attachments, print, or delete</w:t>
      </w:r>
    </w:p>
    <w:p w:rsidR="00000000" w:rsidDel="00000000" w:rsidP="00000000" w:rsidRDefault="00000000" w:rsidRPr="00000000" w14:paraId="00000062">
      <w:pPr>
        <w:ind w:left="720"/>
        <w:rPr>
          <w:rFonts w:ascii="Arial" w:cs="Arial" w:eastAsia="Arial" w:hAnsi="Arial"/>
          <w:color w:val="575047"/>
        </w:rPr>
      </w:pPr>
      <w:bookmarkStart w:colFirst="0" w:colLast="0" w:name="_heading=h.ymnih43vyr4p" w:id="27"/>
      <w:bookmarkEnd w:id="27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2133600"/>
            <wp:effectExtent b="0" l="0" r="0" t="0"/>
            <wp:docPr id="3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136871" cy="434903"/>
          <wp:effectExtent b="0" l="0" r="0" t="0"/>
          <wp:docPr id="39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Arial Narrow" w:cs="Arial Narrow" w:eastAsia="Arial Narrow" w:hAnsi="Arial Narrow"/>
        <w:color w:val="575047"/>
      </w:rPr>
    </w:pPr>
    <w:r w:rsidDel="00000000" w:rsidR="00000000" w:rsidRPr="00000000">
      <w:rPr>
        <w:rFonts w:ascii="Arial Narrow" w:cs="Arial Narrow" w:eastAsia="Arial Narrow" w:hAnsi="Arial Narrow"/>
        <w:b w:val="1"/>
        <w:color w:val="575047"/>
        <w:rtl w:val="0"/>
      </w:rPr>
      <w:t xml:space="preserve">Updated:</w:t>
    </w:r>
    <w:r w:rsidDel="00000000" w:rsidR="00000000" w:rsidRPr="00000000">
      <w:rPr>
        <w:rFonts w:ascii="Arial Narrow" w:cs="Arial Narrow" w:eastAsia="Arial Narrow" w:hAnsi="Arial Narrow"/>
        <w:color w:val="575047"/>
        <w:rtl w:val="0"/>
      </w:rPr>
      <w:t xml:space="preserve"> March 2020</w:t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 Narrow" w:cs="Arial Narrow" w:eastAsia="Arial Narrow" w:hAnsi="Arial Narrow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759E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971EB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9.png"/><Relationship Id="rId22" Type="http://schemas.openxmlformats.org/officeDocument/2006/relationships/header" Target="header1.xml"/><Relationship Id="rId10" Type="http://schemas.openxmlformats.org/officeDocument/2006/relationships/image" Target="media/image13.png"/><Relationship Id="rId21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14.png"/><Relationship Id="rId17" Type="http://schemas.openxmlformats.org/officeDocument/2006/relationships/image" Target="media/image5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0J4IPO+9kOnIYDZgjtZoWIo7+A==">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2020-02-13T17:48:00Z</dcterms:created>
  <dc:creator>Kate Lande</dc:creator>
</cp:coreProperties>
</file>