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69F2" w14:textId="2D19C577" w:rsidR="001F577E" w:rsidRDefault="00E76682" w:rsidP="00A03011">
      <w:pPr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50B93A4D" wp14:editId="2F8B5B34">
            <wp:simplePos x="0" y="0"/>
            <wp:positionH relativeFrom="page">
              <wp:align>right</wp:align>
            </wp:positionH>
            <wp:positionV relativeFrom="paragraph">
              <wp:posOffset>-873125</wp:posOffset>
            </wp:positionV>
            <wp:extent cx="7753350" cy="1427246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mHeade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427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981DB7" w14:textId="77777777" w:rsidR="00895070" w:rsidRDefault="00895070" w:rsidP="00A03011">
      <w:pPr>
        <w:rPr>
          <w:sz w:val="20"/>
        </w:rPr>
      </w:pPr>
    </w:p>
    <w:p w14:paraId="79A1F0C5" w14:textId="77777777" w:rsidR="00895070" w:rsidRDefault="00895070" w:rsidP="00A03011">
      <w:pPr>
        <w:rPr>
          <w:sz w:val="20"/>
        </w:rPr>
      </w:pPr>
    </w:p>
    <w:p w14:paraId="20DEFF3C" w14:textId="77777777" w:rsidR="00280C95" w:rsidRDefault="00280C95" w:rsidP="00EB7D64">
      <w:pPr>
        <w:contextualSpacing/>
        <w:jc w:val="center"/>
        <w:rPr>
          <w:rFonts w:ascii="Whitney SC" w:hAnsi="Whitney SC"/>
          <w:sz w:val="56"/>
          <w:szCs w:val="56"/>
        </w:rPr>
      </w:pPr>
    </w:p>
    <w:p w14:paraId="40498AA7" w14:textId="0F509133" w:rsidR="00EB7D64" w:rsidRDefault="00EB7D64" w:rsidP="00EB7D64">
      <w:pPr>
        <w:contextualSpacing/>
        <w:jc w:val="center"/>
        <w:rPr>
          <w:rFonts w:ascii="Whitney SC" w:hAnsi="Whitney SC"/>
          <w:sz w:val="56"/>
          <w:szCs w:val="56"/>
        </w:rPr>
      </w:pPr>
      <w:r>
        <w:rPr>
          <w:rFonts w:ascii="Whitney SC" w:hAnsi="Whitney SC"/>
          <w:sz w:val="56"/>
          <w:szCs w:val="56"/>
        </w:rPr>
        <w:t>Social Media &amp; Data Analytics</w:t>
      </w:r>
    </w:p>
    <w:p w14:paraId="46EB12FA" w14:textId="09D72EF0" w:rsidR="00280C95" w:rsidRDefault="00280C95" w:rsidP="00EB7D64">
      <w:pPr>
        <w:contextualSpacing/>
        <w:jc w:val="center"/>
        <w:rPr>
          <w:rFonts w:ascii="Whitney SC" w:hAnsi="Whitney SC"/>
          <w:sz w:val="56"/>
          <w:szCs w:val="56"/>
        </w:rPr>
      </w:pPr>
      <w:r>
        <w:rPr>
          <w:rFonts w:ascii="Whitney SC" w:hAnsi="Whitney SC"/>
          <w:sz w:val="56"/>
          <w:szCs w:val="56"/>
        </w:rPr>
        <w:t>Certificate of Proficiency</w:t>
      </w:r>
      <w:r w:rsidR="00F379E5">
        <w:rPr>
          <w:rFonts w:ascii="Whitney SC" w:hAnsi="Whitney SC"/>
          <w:sz w:val="56"/>
          <w:szCs w:val="56"/>
        </w:rPr>
        <w:t xml:space="preserve">—18 credits </w:t>
      </w:r>
    </w:p>
    <w:p w14:paraId="61325E14" w14:textId="42FCADD7" w:rsidR="00280C95" w:rsidRDefault="00280C95" w:rsidP="00280C95">
      <w:pPr>
        <w:contextualSpacing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280C95">
        <w:rPr>
          <w:rFonts w:asciiTheme="majorHAnsi" w:hAnsiTheme="majorHAnsi" w:cstheme="majorHAnsi"/>
          <w:color w:val="000000" w:themeColor="text1"/>
          <w:shd w:val="clear" w:color="auto" w:fill="FFFFFF"/>
        </w:rPr>
        <w:t>The Certificate of Proficiency in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proofErr w:type="gramStart"/>
      <w:r>
        <w:rPr>
          <w:rFonts w:asciiTheme="majorHAnsi" w:hAnsiTheme="majorHAnsi" w:cstheme="majorHAnsi"/>
          <w:color w:val="000000" w:themeColor="text1"/>
          <w:shd w:val="clear" w:color="auto" w:fill="FFFFFF"/>
        </w:rPr>
        <w:t>Social Media</w:t>
      </w:r>
      <w:proofErr w:type="gramEnd"/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Pr="00280C95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and Data Analytics enables students and professionals to validate their 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intermediate </w:t>
      </w:r>
      <w:r w:rsidRPr="00280C95">
        <w:rPr>
          <w:rFonts w:asciiTheme="majorHAnsi" w:hAnsiTheme="majorHAnsi" w:cstheme="majorHAnsi"/>
          <w:color w:val="000000" w:themeColor="text1"/>
          <w:shd w:val="clear" w:color="auto" w:fill="FFFFFF"/>
        </w:rPr>
        <w:t>data analysis skills in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social media</w:t>
      </w:r>
      <w:r w:rsidRPr="00280C95">
        <w:rPr>
          <w:rFonts w:asciiTheme="majorHAnsi" w:hAnsiTheme="majorHAnsi" w:cstheme="majorHAnsi"/>
          <w:color w:val="000000" w:themeColor="text1"/>
          <w:shd w:val="clear" w:color="auto" w:fill="FFFFFF"/>
        </w:rPr>
        <w:t> research and strategic planning in communication. This validation provides a competitive advantage in current or future employment, broadens business opportunities, and strengthens the connections between academia and industry. This certificate equips individuals with a solid foundation in</w:t>
      </w:r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social media</w:t>
      </w:r>
      <w:r w:rsidRPr="00280C95">
        <w:rPr>
          <w:rFonts w:asciiTheme="majorHAnsi" w:hAnsiTheme="majorHAnsi" w:cstheme="majorHAnsi"/>
          <w:color w:val="000000" w:themeColor="text1"/>
          <w:shd w:val="clear" w:color="auto" w:fill="FFFFFF"/>
        </w:rPr>
        <w:t> strategy and research, making them valuable assets to employers in the communication industry.</w:t>
      </w:r>
    </w:p>
    <w:p w14:paraId="511C7CD4" w14:textId="77777777" w:rsidR="00280C95" w:rsidRPr="00280C95" w:rsidRDefault="00280C95" w:rsidP="00280C95">
      <w:pPr>
        <w:contextualSpacing/>
        <w:rPr>
          <w:rFonts w:asciiTheme="majorHAnsi" w:hAnsiTheme="majorHAnsi" w:cstheme="majorHAnsi"/>
          <w:color w:val="000000" w:themeColor="text1"/>
        </w:rPr>
      </w:pPr>
    </w:p>
    <w:p w14:paraId="33B30950" w14:textId="3AA0800C" w:rsidR="00EB7D64" w:rsidRDefault="00EB7D64" w:rsidP="00EB7D64">
      <w:r>
        <w:rPr>
          <w:rFonts w:asciiTheme="majorHAnsi" w:hAnsiTheme="majorHAnsi"/>
          <w:b/>
          <w:i/>
          <w:sz w:val="20"/>
        </w:rPr>
        <w:t>Catalog Year: 2</w:t>
      </w:r>
      <w:r w:rsidR="00280C95">
        <w:rPr>
          <w:rFonts w:asciiTheme="majorHAnsi" w:hAnsiTheme="majorHAnsi"/>
          <w:b/>
          <w:i/>
          <w:sz w:val="20"/>
        </w:rPr>
        <w:t>025-26</w:t>
      </w:r>
      <w:r>
        <w:rPr>
          <w:rFonts w:asciiTheme="majorHAnsi" w:hAnsiTheme="majorHAnsi"/>
          <w:b/>
          <w:i/>
          <w:sz w:val="20"/>
        </w:rPr>
        <w:t xml:space="preserve">                                                                                                                                         </w:t>
      </w:r>
    </w:p>
    <w:tbl>
      <w:tblPr>
        <w:tblStyle w:val="TableGrid"/>
        <w:tblW w:w="10166" w:type="dxa"/>
        <w:jc w:val="center"/>
        <w:tblLook w:val="00A0" w:firstRow="1" w:lastRow="0" w:firstColumn="1" w:lastColumn="0" w:noHBand="0" w:noVBand="0"/>
      </w:tblPr>
      <w:tblGrid>
        <w:gridCol w:w="6660"/>
        <w:gridCol w:w="1080"/>
        <w:gridCol w:w="1350"/>
        <w:gridCol w:w="1076"/>
      </w:tblGrid>
      <w:tr w:rsidR="00D41E5D" w:rsidRPr="00D41E5D" w14:paraId="46245F72" w14:textId="77777777" w:rsidTr="00EB7D64">
        <w:trPr>
          <w:jc w:val="center"/>
        </w:trPr>
        <w:tc>
          <w:tcPr>
            <w:tcW w:w="6660" w:type="dxa"/>
            <w:shd w:val="clear" w:color="auto" w:fill="D9D9D9"/>
          </w:tcPr>
          <w:p w14:paraId="13395315" w14:textId="070A1964" w:rsidR="00A03011" w:rsidRPr="00D41E5D" w:rsidRDefault="008D125E" w:rsidP="00AD2D5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 xml:space="preserve">Required </w:t>
            </w:r>
            <w:r w:rsidR="00280C95">
              <w:rPr>
                <w:rFonts w:asciiTheme="majorHAnsi" w:hAnsiTheme="majorHAnsi"/>
                <w:b/>
                <w:sz w:val="20"/>
                <w:szCs w:val="20"/>
              </w:rPr>
              <w:t xml:space="preserve">Courses </w:t>
            </w: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280C95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 xml:space="preserve"> credits)</w:t>
            </w:r>
          </w:p>
        </w:tc>
        <w:tc>
          <w:tcPr>
            <w:tcW w:w="1080" w:type="dxa"/>
            <w:shd w:val="clear" w:color="auto" w:fill="D9D9D9"/>
          </w:tcPr>
          <w:p w14:paraId="1934F877" w14:textId="77777777" w:rsidR="00A03011" w:rsidRPr="00D41E5D" w:rsidRDefault="00A03011" w:rsidP="00D41E5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>Credits</w:t>
            </w:r>
          </w:p>
        </w:tc>
        <w:tc>
          <w:tcPr>
            <w:tcW w:w="1350" w:type="dxa"/>
            <w:shd w:val="clear" w:color="auto" w:fill="D9D9D9"/>
          </w:tcPr>
          <w:p w14:paraId="202CAAAD" w14:textId="31518875" w:rsidR="00A03011" w:rsidRPr="00D41E5D" w:rsidRDefault="00A03011" w:rsidP="00D41E5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1076" w:type="dxa"/>
            <w:shd w:val="clear" w:color="auto" w:fill="D9D9D9"/>
          </w:tcPr>
          <w:p w14:paraId="6C9C6039" w14:textId="77777777" w:rsidR="00A03011" w:rsidRPr="00D41E5D" w:rsidRDefault="00A03011" w:rsidP="00D41E5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>Grade</w:t>
            </w:r>
          </w:p>
        </w:tc>
      </w:tr>
      <w:tr w:rsidR="00280C95" w:rsidRPr="00D41E5D" w14:paraId="4FF8F137" w14:textId="77777777" w:rsidTr="00EB7D64">
        <w:trPr>
          <w:jc w:val="center"/>
        </w:trPr>
        <w:tc>
          <w:tcPr>
            <w:tcW w:w="6660" w:type="dxa"/>
          </w:tcPr>
          <w:p w14:paraId="62E02E63" w14:textId="6B5E0ECA" w:rsidR="00280C95" w:rsidRPr="00D41E5D" w:rsidRDefault="00280C95" w:rsidP="004005E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2400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Social Media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for Communicators</w:t>
            </w:r>
          </w:p>
        </w:tc>
        <w:tc>
          <w:tcPr>
            <w:tcW w:w="1080" w:type="dxa"/>
          </w:tcPr>
          <w:p w14:paraId="08422996" w14:textId="77777777" w:rsidR="00280C95" w:rsidRPr="00D41E5D" w:rsidRDefault="00280C95" w:rsidP="0096369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6D421763" w14:textId="77777777" w:rsidR="00280C95" w:rsidRPr="00D41E5D" w:rsidRDefault="00280C95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1B881E23" w14:textId="77777777" w:rsidR="00280C95" w:rsidRPr="00D41E5D" w:rsidRDefault="00280C95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0C95" w:rsidRPr="00D41E5D" w14:paraId="7D3F20DB" w14:textId="77777777" w:rsidTr="00EB7D64">
        <w:trPr>
          <w:jc w:val="center"/>
        </w:trPr>
        <w:tc>
          <w:tcPr>
            <w:tcW w:w="6660" w:type="dxa"/>
          </w:tcPr>
          <w:p w14:paraId="1C4AB648" w14:textId="2BCCD23E" w:rsidR="00280C95" w:rsidRPr="00D41E5D" w:rsidRDefault="00280C95" w:rsidP="00C4179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3460 GLB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Pubic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Relations and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Social Media</w:t>
            </w:r>
            <w:proofErr w:type="gramEnd"/>
          </w:p>
        </w:tc>
        <w:tc>
          <w:tcPr>
            <w:tcW w:w="1080" w:type="dxa"/>
          </w:tcPr>
          <w:p w14:paraId="793F9FD3" w14:textId="77777777" w:rsidR="00280C95" w:rsidRPr="00D41E5D" w:rsidRDefault="00280C95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18E36049" w14:textId="77777777" w:rsidR="00280C95" w:rsidRPr="00D41E5D" w:rsidRDefault="00280C95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65F18318" w14:textId="77777777" w:rsidR="00280C95" w:rsidRPr="00D41E5D" w:rsidRDefault="00280C95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0C95" w:rsidRPr="00D41E5D" w14:paraId="4FBCD463" w14:textId="77777777" w:rsidTr="00091672">
        <w:trPr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79DC7C66" w14:textId="419B0B42" w:rsidR="00280C95" w:rsidRPr="00D41E5D" w:rsidRDefault="00280C95" w:rsidP="002D02E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D41E5D">
              <w:rPr>
                <w:rFonts w:asciiTheme="majorHAnsi" w:hAnsiTheme="majorHAnsi"/>
                <w:sz w:val="20"/>
                <w:szCs w:val="20"/>
              </w:rPr>
              <w:t xml:space="preserve"> 3</w:t>
            </w:r>
            <w:r>
              <w:rPr>
                <w:rFonts w:asciiTheme="majorHAnsi" w:hAnsiTheme="majorHAnsi"/>
                <w:sz w:val="20"/>
                <w:szCs w:val="20"/>
              </w:rPr>
              <w:t>880 Audience Analysis</w:t>
            </w:r>
          </w:p>
        </w:tc>
        <w:tc>
          <w:tcPr>
            <w:tcW w:w="1080" w:type="dxa"/>
          </w:tcPr>
          <w:p w14:paraId="1A9D453A" w14:textId="77777777" w:rsidR="00280C95" w:rsidRPr="00D41E5D" w:rsidRDefault="00280C95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1E757267" w14:textId="77777777" w:rsidR="00280C95" w:rsidRPr="00D41E5D" w:rsidRDefault="00280C95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1AB292F7" w14:textId="77777777" w:rsidR="00280C95" w:rsidRPr="00D41E5D" w:rsidRDefault="00280C95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0C95" w:rsidRPr="00D41E5D" w14:paraId="2FF0BB54" w14:textId="77777777" w:rsidTr="006E5241">
        <w:trPr>
          <w:jc w:val="center"/>
        </w:trPr>
        <w:tc>
          <w:tcPr>
            <w:tcW w:w="6660" w:type="dxa"/>
            <w:shd w:val="clear" w:color="auto" w:fill="D9D9D9"/>
          </w:tcPr>
          <w:p w14:paraId="0ECD5103" w14:textId="5014B17B" w:rsidR="00280C95" w:rsidRPr="00D41E5D" w:rsidRDefault="00280C95" w:rsidP="002D02EE">
            <w:pPr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>Electives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Pick </w:t>
            </w: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>9 credits)</w:t>
            </w:r>
          </w:p>
        </w:tc>
        <w:tc>
          <w:tcPr>
            <w:tcW w:w="1080" w:type="dxa"/>
          </w:tcPr>
          <w:p w14:paraId="75A9A240" w14:textId="1AABAEB8" w:rsidR="00280C95" w:rsidRPr="00D41E5D" w:rsidRDefault="00280C95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07C26581" w14:textId="77777777" w:rsidR="00280C95" w:rsidRPr="00D41E5D" w:rsidRDefault="00280C95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47BCC57A" w14:textId="77777777" w:rsidR="00280C95" w:rsidRPr="00D41E5D" w:rsidRDefault="00280C95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0C95" w:rsidRPr="00D41E5D" w14:paraId="7A46A71E" w14:textId="77777777" w:rsidTr="006E5241">
        <w:trPr>
          <w:jc w:val="center"/>
        </w:trPr>
        <w:tc>
          <w:tcPr>
            <w:tcW w:w="6660" w:type="dxa"/>
          </w:tcPr>
          <w:p w14:paraId="1A2CBED2" w14:textId="4607B1C8" w:rsidR="00280C95" w:rsidRPr="00D41E5D" w:rsidRDefault="00280C95" w:rsidP="00C4179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2250 HU Essentials of Digital Media </w:t>
            </w:r>
          </w:p>
        </w:tc>
        <w:tc>
          <w:tcPr>
            <w:tcW w:w="1080" w:type="dxa"/>
          </w:tcPr>
          <w:p w14:paraId="41A1447F" w14:textId="77777777" w:rsidR="00280C95" w:rsidRPr="00D41E5D" w:rsidRDefault="00280C95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62CD9D8B" w14:textId="77777777" w:rsidR="00280C95" w:rsidRPr="00D41E5D" w:rsidRDefault="00280C95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0521BC6F" w14:textId="77777777" w:rsidR="00280C95" w:rsidRPr="00D41E5D" w:rsidRDefault="00280C95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0C95" w:rsidRPr="00D41E5D" w14:paraId="691B0BEA" w14:textId="77777777" w:rsidTr="00091672">
        <w:trPr>
          <w:jc w:val="center"/>
        </w:trPr>
        <w:tc>
          <w:tcPr>
            <w:tcW w:w="6660" w:type="dxa"/>
          </w:tcPr>
          <w:p w14:paraId="42F5CF6F" w14:textId="7595034F" w:rsidR="00280C95" w:rsidRPr="00D41E5D" w:rsidRDefault="00280C95" w:rsidP="009018D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D41E5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3350 Visual Communication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6B23A50C" w14:textId="77777777" w:rsidR="00280C95" w:rsidRPr="00D41E5D" w:rsidRDefault="00280C95" w:rsidP="009018D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517FA163" w14:textId="77777777" w:rsidR="00280C95" w:rsidRPr="00D41E5D" w:rsidRDefault="00280C95" w:rsidP="009018D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000000" w:themeColor="text1"/>
            </w:tcBorders>
          </w:tcPr>
          <w:p w14:paraId="285F3FB0" w14:textId="77777777" w:rsidR="00280C95" w:rsidRPr="00D41E5D" w:rsidRDefault="00280C95" w:rsidP="009018D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0C95" w:rsidRPr="00D41E5D" w14:paraId="35F60E85" w14:textId="77777777" w:rsidTr="00D47C2F">
        <w:trPr>
          <w:jc w:val="center"/>
        </w:trPr>
        <w:tc>
          <w:tcPr>
            <w:tcW w:w="6660" w:type="dxa"/>
          </w:tcPr>
          <w:p w14:paraId="32B9046B" w14:textId="323FD714" w:rsidR="00280C95" w:rsidRDefault="00280C95" w:rsidP="009018D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3</w:t>
            </w:r>
            <w:r w:rsidR="00F379E5">
              <w:rPr>
                <w:rFonts w:asciiTheme="majorHAnsi" w:hAnsiTheme="majorHAnsi"/>
                <w:sz w:val="20"/>
                <w:szCs w:val="20"/>
              </w:rPr>
              <w:t>650 Communication Law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7EEB4579" w14:textId="1E127AF5" w:rsidR="00280C95" w:rsidRPr="00D41E5D" w:rsidRDefault="00280C95" w:rsidP="009018D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22D53389" w14:textId="77777777" w:rsidR="00280C95" w:rsidRPr="00D41E5D" w:rsidRDefault="00280C95" w:rsidP="009018D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000000" w:themeColor="text1"/>
            </w:tcBorders>
          </w:tcPr>
          <w:p w14:paraId="6826DCEB" w14:textId="77777777" w:rsidR="00280C95" w:rsidRPr="00D41E5D" w:rsidRDefault="00280C95" w:rsidP="009018D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79E5" w:rsidRPr="00D41E5D" w14:paraId="3320CF72" w14:textId="77777777" w:rsidTr="00D47C2F">
        <w:trPr>
          <w:jc w:val="center"/>
        </w:trPr>
        <w:tc>
          <w:tcPr>
            <w:tcW w:w="6660" w:type="dxa"/>
          </w:tcPr>
          <w:p w14:paraId="7A32F049" w14:textId="2735C3AB" w:rsidR="00F379E5" w:rsidRDefault="00F379E5" w:rsidP="009018D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D41E5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3840 Data Visualization and Storytelling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0F391449" w14:textId="77777777" w:rsidR="00F379E5" w:rsidRDefault="00F379E5" w:rsidP="009018D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1BCC006D" w14:textId="77777777" w:rsidR="00F379E5" w:rsidRPr="00D41E5D" w:rsidRDefault="00F379E5" w:rsidP="009018D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000000" w:themeColor="text1"/>
            </w:tcBorders>
          </w:tcPr>
          <w:p w14:paraId="7C390925" w14:textId="77777777" w:rsidR="00F379E5" w:rsidRPr="00D41E5D" w:rsidRDefault="00F379E5" w:rsidP="009018D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79E5" w:rsidRPr="00D41E5D" w14:paraId="2A23B27A" w14:textId="77777777" w:rsidTr="00EB7D64">
        <w:trPr>
          <w:jc w:val="center"/>
        </w:trPr>
        <w:tc>
          <w:tcPr>
            <w:tcW w:w="6660" w:type="dxa"/>
          </w:tcPr>
          <w:p w14:paraId="4DD5D71E" w14:textId="211BAF69" w:rsidR="00F379E5" w:rsidRPr="00D41E5D" w:rsidRDefault="00F379E5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3890 INT Advanced Cooperative Work Experience with </w:t>
            </w:r>
            <w:r w:rsidRPr="00FE749E">
              <w:rPr>
                <w:rFonts w:asciiTheme="majorHAnsi" w:hAnsiTheme="majorHAnsi"/>
                <w:i/>
                <w:sz w:val="20"/>
                <w:szCs w:val="20"/>
              </w:rPr>
              <w:t>The Signpost</w:t>
            </w:r>
          </w:p>
        </w:tc>
        <w:tc>
          <w:tcPr>
            <w:tcW w:w="1080" w:type="dxa"/>
          </w:tcPr>
          <w:p w14:paraId="1FAA7E28" w14:textId="77777777" w:rsidR="00F379E5" w:rsidRPr="00D41E5D" w:rsidRDefault="00F379E5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6AB6795A" w14:textId="77777777" w:rsidR="00F379E5" w:rsidRPr="00D41E5D" w:rsidRDefault="00F379E5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755A7411" w14:textId="77777777" w:rsidR="00F379E5" w:rsidRPr="00D41E5D" w:rsidRDefault="00F379E5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79E5" w:rsidRPr="00D41E5D" w14:paraId="4979C6F6" w14:textId="77777777" w:rsidTr="00EB7D64">
        <w:trPr>
          <w:jc w:val="center"/>
        </w:trPr>
        <w:tc>
          <w:tcPr>
            <w:tcW w:w="6660" w:type="dxa"/>
          </w:tcPr>
          <w:p w14:paraId="7E557949" w14:textId="2DD3D492" w:rsidR="00F379E5" w:rsidRDefault="00F379E5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3891 INT Advanced Cooperative Work Experience with </w:t>
            </w:r>
            <w:r w:rsidRPr="00FE749E">
              <w:rPr>
                <w:rFonts w:asciiTheme="majorHAnsi" w:hAnsiTheme="majorHAnsi"/>
                <w:i/>
                <w:sz w:val="20"/>
                <w:szCs w:val="20"/>
              </w:rPr>
              <w:t>KWCR</w:t>
            </w:r>
          </w:p>
        </w:tc>
        <w:tc>
          <w:tcPr>
            <w:tcW w:w="1080" w:type="dxa"/>
          </w:tcPr>
          <w:p w14:paraId="301ACF2B" w14:textId="564C4AFA" w:rsidR="00F379E5" w:rsidRDefault="00F379E5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  <w:tc>
          <w:tcPr>
            <w:tcW w:w="1350" w:type="dxa"/>
          </w:tcPr>
          <w:p w14:paraId="0F8A82F6" w14:textId="77777777" w:rsidR="00F379E5" w:rsidRPr="00D41E5D" w:rsidRDefault="00F379E5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4FCEBEC7" w14:textId="77777777" w:rsidR="00F379E5" w:rsidRPr="00D41E5D" w:rsidRDefault="00F379E5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79E5" w:rsidRPr="00D41E5D" w14:paraId="7074CD38" w14:textId="77777777" w:rsidTr="004E15E9">
        <w:trPr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2054463F" w14:textId="2909D1BD" w:rsidR="00F379E5" w:rsidRDefault="00F379E5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D41E5D">
              <w:rPr>
                <w:rFonts w:asciiTheme="majorHAnsi" w:hAnsiTheme="majorHAnsi"/>
                <w:sz w:val="20"/>
                <w:szCs w:val="20"/>
              </w:rPr>
              <w:t xml:space="preserve"> 3892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INT </w:t>
            </w:r>
            <w:r w:rsidRPr="00D41E5D">
              <w:rPr>
                <w:rFonts w:asciiTheme="majorHAnsi" w:hAnsiTheme="majorHAnsi"/>
                <w:sz w:val="20"/>
                <w:szCs w:val="20"/>
              </w:rPr>
              <w:t>Advanced Cooperative Work Experience with P</w:t>
            </w:r>
            <w:r>
              <w:rPr>
                <w:rFonts w:asciiTheme="majorHAnsi" w:hAnsiTheme="majorHAnsi"/>
                <w:sz w:val="20"/>
                <w:szCs w:val="20"/>
              </w:rPr>
              <w:t>ublic Relations</w:t>
            </w:r>
          </w:p>
        </w:tc>
        <w:tc>
          <w:tcPr>
            <w:tcW w:w="1080" w:type="dxa"/>
          </w:tcPr>
          <w:p w14:paraId="5C179D60" w14:textId="73EDA07E" w:rsidR="00F379E5" w:rsidRPr="00D41E5D" w:rsidRDefault="00F379E5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  <w:tc>
          <w:tcPr>
            <w:tcW w:w="1350" w:type="dxa"/>
          </w:tcPr>
          <w:p w14:paraId="10FD5873" w14:textId="77777777" w:rsidR="00F379E5" w:rsidRPr="00D41E5D" w:rsidRDefault="00F379E5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6236EED2" w14:textId="77777777" w:rsidR="00F379E5" w:rsidRPr="00D41E5D" w:rsidRDefault="00F379E5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79E5" w:rsidRPr="00D41E5D" w14:paraId="268CF38E" w14:textId="77777777" w:rsidTr="00FF6999">
        <w:trPr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0DC45B29" w14:textId="7C2C1A57" w:rsidR="00F379E5" w:rsidRDefault="00F379E5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3893 INT Advanced Cooperative Work Experience with Studio 76</w:t>
            </w:r>
          </w:p>
        </w:tc>
        <w:tc>
          <w:tcPr>
            <w:tcW w:w="1080" w:type="dxa"/>
          </w:tcPr>
          <w:p w14:paraId="40E9D9BC" w14:textId="38096C2F" w:rsidR="00F379E5" w:rsidRDefault="00F379E5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  <w:tc>
          <w:tcPr>
            <w:tcW w:w="1350" w:type="dxa"/>
          </w:tcPr>
          <w:p w14:paraId="6652D0B8" w14:textId="77777777" w:rsidR="00F379E5" w:rsidRPr="00D41E5D" w:rsidRDefault="00F379E5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121E115E" w14:textId="77777777" w:rsidR="00F379E5" w:rsidRPr="00D41E5D" w:rsidRDefault="00F379E5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79E5" w:rsidRPr="00D41E5D" w14:paraId="0AABA38F" w14:textId="77777777" w:rsidTr="00FF6999">
        <w:trPr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3682C75D" w14:textId="466D3310" w:rsidR="00F379E5" w:rsidRPr="00D41E5D" w:rsidRDefault="00F379E5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3894 INT Advanced Cooperative Work Experience with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Social Media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and Data Analytics Lab</w:t>
            </w:r>
          </w:p>
        </w:tc>
        <w:tc>
          <w:tcPr>
            <w:tcW w:w="1080" w:type="dxa"/>
          </w:tcPr>
          <w:p w14:paraId="52271AD8" w14:textId="2C750147" w:rsidR="00F379E5" w:rsidRPr="00D41E5D" w:rsidRDefault="00F379E5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  <w:tc>
          <w:tcPr>
            <w:tcW w:w="1350" w:type="dxa"/>
          </w:tcPr>
          <w:p w14:paraId="413DA510" w14:textId="77777777" w:rsidR="00F379E5" w:rsidRPr="00D41E5D" w:rsidRDefault="00F379E5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74F2336C" w14:textId="77777777" w:rsidR="00F379E5" w:rsidRPr="00D41E5D" w:rsidRDefault="00F379E5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79E5" w:rsidRPr="00D41E5D" w14:paraId="66F1E991" w14:textId="77777777" w:rsidTr="00FF6999">
        <w:trPr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75AE5905" w14:textId="2D398624" w:rsidR="00F379E5" w:rsidRPr="00D41E5D" w:rsidRDefault="00F379E5" w:rsidP="00C4179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4760 Media Management and Distribution</w:t>
            </w:r>
          </w:p>
        </w:tc>
        <w:tc>
          <w:tcPr>
            <w:tcW w:w="1080" w:type="dxa"/>
          </w:tcPr>
          <w:p w14:paraId="3C9A1E3C" w14:textId="0D2CAB66" w:rsidR="00F379E5" w:rsidRPr="00D41E5D" w:rsidRDefault="00F379E5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7F86C2BA" w14:textId="77777777" w:rsidR="00F379E5" w:rsidRPr="00D41E5D" w:rsidRDefault="00F379E5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6FE95F17" w14:textId="77777777" w:rsidR="00F379E5" w:rsidRPr="00D41E5D" w:rsidRDefault="00F379E5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79E5" w:rsidRPr="00D41E5D" w14:paraId="589A54BB" w14:textId="77777777" w:rsidTr="00FF6999">
        <w:trPr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699A5563" w14:textId="210D4608" w:rsidR="00F379E5" w:rsidRPr="00D41E5D" w:rsidRDefault="00F379E5" w:rsidP="003E52B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4880 Social Media Metrics and Measurement</w:t>
            </w:r>
          </w:p>
        </w:tc>
        <w:tc>
          <w:tcPr>
            <w:tcW w:w="1080" w:type="dxa"/>
          </w:tcPr>
          <w:p w14:paraId="60CA9E84" w14:textId="77777777" w:rsidR="00F379E5" w:rsidRPr="00D41E5D" w:rsidRDefault="00F379E5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583008D7" w14:textId="77777777" w:rsidR="00F379E5" w:rsidRPr="00D41E5D" w:rsidRDefault="00F379E5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45D0069B" w14:textId="77777777" w:rsidR="00F379E5" w:rsidRPr="00D41E5D" w:rsidRDefault="00F379E5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162BDCC" w14:textId="77777777" w:rsidR="00174D3D" w:rsidRDefault="00174D3D" w:rsidP="00174D3D">
      <w:pPr>
        <w:rPr>
          <w:rFonts w:asciiTheme="majorHAnsi" w:hAnsiTheme="majorHAnsi"/>
          <w:b/>
          <w:sz w:val="20"/>
          <w:szCs w:val="20"/>
        </w:rPr>
      </w:pPr>
    </w:p>
    <w:p w14:paraId="5B6FD9DF" w14:textId="77777777" w:rsidR="00C41793" w:rsidRDefault="00C41793" w:rsidP="00045519">
      <w:pPr>
        <w:jc w:val="center"/>
        <w:rPr>
          <w:rFonts w:asciiTheme="majorHAnsi" w:hAnsiTheme="majorHAnsi"/>
          <w:b/>
          <w:sz w:val="20"/>
          <w:szCs w:val="20"/>
        </w:rPr>
      </w:pPr>
      <w:r w:rsidRPr="007A39C1">
        <w:rPr>
          <w:rFonts w:asciiTheme="majorHAnsi" w:hAnsiTheme="majorHAnsi"/>
          <w:b/>
          <w:sz w:val="20"/>
          <w:szCs w:val="20"/>
        </w:rPr>
        <w:t>Note</w:t>
      </w:r>
      <w:r>
        <w:rPr>
          <w:rFonts w:asciiTheme="majorHAnsi" w:hAnsiTheme="majorHAnsi"/>
          <w:b/>
          <w:sz w:val="20"/>
          <w:szCs w:val="20"/>
        </w:rPr>
        <w:t>s</w:t>
      </w:r>
    </w:p>
    <w:p w14:paraId="6D0625C3" w14:textId="77777777" w:rsidR="00C41793" w:rsidRPr="00D230D6" w:rsidRDefault="00C41793" w:rsidP="00C41793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i/>
          <w:sz w:val="18"/>
          <w:szCs w:val="18"/>
        </w:rPr>
      </w:pPr>
      <w:r w:rsidRPr="00D230D6">
        <w:rPr>
          <w:rFonts w:asciiTheme="majorHAnsi" w:hAnsiTheme="majorHAnsi"/>
          <w:i/>
          <w:sz w:val="18"/>
          <w:szCs w:val="18"/>
        </w:rPr>
        <w:t>Students may propose other courses to their academic advisor to best meet their academic goals.</w:t>
      </w:r>
    </w:p>
    <w:p w14:paraId="02B188E5" w14:textId="77777777" w:rsidR="004223E3" w:rsidRDefault="00C41793" w:rsidP="00C41793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i/>
          <w:sz w:val="18"/>
          <w:szCs w:val="18"/>
        </w:rPr>
      </w:pPr>
      <w:r w:rsidRPr="00D230D6">
        <w:rPr>
          <w:rFonts w:asciiTheme="majorHAnsi" w:hAnsiTheme="majorHAnsi"/>
          <w:i/>
          <w:sz w:val="18"/>
          <w:szCs w:val="18"/>
        </w:rPr>
        <w:t xml:space="preserve">This advising sheet is not a contract but is designed to help students track academic progress.    </w:t>
      </w:r>
    </w:p>
    <w:p w14:paraId="1BDE1676" w14:textId="78F9969A" w:rsidR="004223E3" w:rsidRPr="00EC6A3B" w:rsidRDefault="004223E3" w:rsidP="004223E3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B85391">
        <w:rPr>
          <w:rFonts w:asciiTheme="majorHAnsi" w:hAnsiTheme="majorHAnsi"/>
          <w:i/>
          <w:sz w:val="18"/>
          <w:szCs w:val="18"/>
        </w:rPr>
        <w:t>A maximum of 6 credit hours total from 3890, 3891, 3892, and 3893 may be counted for the major.</w:t>
      </w:r>
    </w:p>
    <w:p w14:paraId="1A13888F" w14:textId="1B40F67F" w:rsidR="00EC6A3B" w:rsidRPr="00B85391" w:rsidRDefault="00EC6A3B" w:rsidP="004223E3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/>
          <w:sz w:val="18"/>
          <w:szCs w:val="20"/>
        </w:rPr>
        <w:t>Select classes carefully to meet upper-division requirements.</w:t>
      </w:r>
    </w:p>
    <w:p w14:paraId="2FDA3847" w14:textId="04B629D7" w:rsidR="0052777D" w:rsidRPr="00D41E5D" w:rsidRDefault="0052777D" w:rsidP="00C41793">
      <w:pPr>
        <w:jc w:val="center"/>
        <w:rPr>
          <w:rFonts w:asciiTheme="majorHAnsi" w:hAnsiTheme="majorHAnsi"/>
          <w:sz w:val="20"/>
          <w:szCs w:val="20"/>
        </w:rPr>
      </w:pPr>
    </w:p>
    <w:sectPr w:rsidR="0052777D" w:rsidRPr="00D41E5D" w:rsidSect="00174D3D">
      <w:headerReference w:type="default" r:id="rId8"/>
      <w:type w:val="continuous"/>
      <w:pgSz w:w="12240" w:h="15840"/>
      <w:pgMar w:top="1440" w:right="1440" w:bottom="12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C3CA2" w14:textId="77777777" w:rsidR="00425492" w:rsidRDefault="00425492" w:rsidP="00174D3D">
      <w:r>
        <w:separator/>
      </w:r>
    </w:p>
  </w:endnote>
  <w:endnote w:type="continuationSeparator" w:id="0">
    <w:p w14:paraId="07981926" w14:textId="77777777" w:rsidR="00425492" w:rsidRDefault="00425492" w:rsidP="0017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tney SC">
    <w:altName w:val="Calibri"/>
    <w:panose1 w:val="020B0604020202020204"/>
    <w:charset w:val="00"/>
    <w:family w:val="modern"/>
    <w:notTrueType/>
    <w:pitch w:val="variable"/>
    <w:sig w:usb0="A00000AF" w:usb1="50002048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39A3E" w14:textId="77777777" w:rsidR="00425492" w:rsidRDefault="00425492" w:rsidP="00174D3D">
      <w:r>
        <w:separator/>
      </w:r>
    </w:p>
  </w:footnote>
  <w:footnote w:type="continuationSeparator" w:id="0">
    <w:p w14:paraId="528576CF" w14:textId="77777777" w:rsidR="00425492" w:rsidRDefault="00425492" w:rsidP="00174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0218" w14:textId="77777777" w:rsidR="00174D3D" w:rsidRDefault="00174D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20C45"/>
    <w:multiLevelType w:val="hybridMultilevel"/>
    <w:tmpl w:val="E8827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44E56"/>
    <w:multiLevelType w:val="hybridMultilevel"/>
    <w:tmpl w:val="DF8EC77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314791975">
    <w:abstractNumId w:val="0"/>
  </w:num>
  <w:num w:numId="2" w16cid:durableId="67383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011"/>
    <w:rsid w:val="000234B2"/>
    <w:rsid w:val="000275A5"/>
    <w:rsid w:val="00045519"/>
    <w:rsid w:val="00062133"/>
    <w:rsid w:val="000654C6"/>
    <w:rsid w:val="000F765F"/>
    <w:rsid w:val="00154076"/>
    <w:rsid w:val="00174D3D"/>
    <w:rsid w:val="001F577E"/>
    <w:rsid w:val="0021172D"/>
    <w:rsid w:val="00280C95"/>
    <w:rsid w:val="00284A1D"/>
    <w:rsid w:val="002A1D65"/>
    <w:rsid w:val="002B7161"/>
    <w:rsid w:val="002D02EE"/>
    <w:rsid w:val="002D3009"/>
    <w:rsid w:val="002F12DF"/>
    <w:rsid w:val="00302620"/>
    <w:rsid w:val="0032344A"/>
    <w:rsid w:val="00326B8C"/>
    <w:rsid w:val="00347501"/>
    <w:rsid w:val="00357CD9"/>
    <w:rsid w:val="00366C70"/>
    <w:rsid w:val="0038112F"/>
    <w:rsid w:val="00394E21"/>
    <w:rsid w:val="003955F4"/>
    <w:rsid w:val="003A465A"/>
    <w:rsid w:val="003B1227"/>
    <w:rsid w:val="003E52BB"/>
    <w:rsid w:val="003F37F3"/>
    <w:rsid w:val="004005EB"/>
    <w:rsid w:val="00416CF3"/>
    <w:rsid w:val="004223E3"/>
    <w:rsid w:val="00425492"/>
    <w:rsid w:val="00443613"/>
    <w:rsid w:val="00454EC2"/>
    <w:rsid w:val="004A0958"/>
    <w:rsid w:val="004A3BF1"/>
    <w:rsid w:val="004A7031"/>
    <w:rsid w:val="004D3B36"/>
    <w:rsid w:val="004D42AA"/>
    <w:rsid w:val="004E39BD"/>
    <w:rsid w:val="004F44B6"/>
    <w:rsid w:val="004F70CB"/>
    <w:rsid w:val="00523E7B"/>
    <w:rsid w:val="0052777D"/>
    <w:rsid w:val="00535BB7"/>
    <w:rsid w:val="00541B9E"/>
    <w:rsid w:val="00555285"/>
    <w:rsid w:val="005810DF"/>
    <w:rsid w:val="005C0452"/>
    <w:rsid w:val="006201C3"/>
    <w:rsid w:val="00626B92"/>
    <w:rsid w:val="006803A1"/>
    <w:rsid w:val="006A0F1C"/>
    <w:rsid w:val="006A1293"/>
    <w:rsid w:val="006B565D"/>
    <w:rsid w:val="006C3901"/>
    <w:rsid w:val="006E0BD7"/>
    <w:rsid w:val="007709B1"/>
    <w:rsid w:val="007A3711"/>
    <w:rsid w:val="008044FB"/>
    <w:rsid w:val="00824B39"/>
    <w:rsid w:val="0082577C"/>
    <w:rsid w:val="00845256"/>
    <w:rsid w:val="008538ED"/>
    <w:rsid w:val="008807FF"/>
    <w:rsid w:val="008843FC"/>
    <w:rsid w:val="00895070"/>
    <w:rsid w:val="008B1F49"/>
    <w:rsid w:val="008D125E"/>
    <w:rsid w:val="008E516F"/>
    <w:rsid w:val="009402D2"/>
    <w:rsid w:val="00954DCA"/>
    <w:rsid w:val="00963696"/>
    <w:rsid w:val="00964950"/>
    <w:rsid w:val="00964D8C"/>
    <w:rsid w:val="009928AA"/>
    <w:rsid w:val="009A2D83"/>
    <w:rsid w:val="009F225A"/>
    <w:rsid w:val="00A03011"/>
    <w:rsid w:val="00A0497B"/>
    <w:rsid w:val="00A16FB6"/>
    <w:rsid w:val="00A206B8"/>
    <w:rsid w:val="00A2454A"/>
    <w:rsid w:val="00A60836"/>
    <w:rsid w:val="00A73E04"/>
    <w:rsid w:val="00A73E38"/>
    <w:rsid w:val="00AD2D5D"/>
    <w:rsid w:val="00AF4A61"/>
    <w:rsid w:val="00B03513"/>
    <w:rsid w:val="00B26701"/>
    <w:rsid w:val="00B57444"/>
    <w:rsid w:val="00B87DEB"/>
    <w:rsid w:val="00BA268D"/>
    <w:rsid w:val="00C10CB1"/>
    <w:rsid w:val="00C14B2D"/>
    <w:rsid w:val="00C23268"/>
    <w:rsid w:val="00C252CB"/>
    <w:rsid w:val="00C3096C"/>
    <w:rsid w:val="00C41793"/>
    <w:rsid w:val="00C41FA5"/>
    <w:rsid w:val="00C808E5"/>
    <w:rsid w:val="00C952B2"/>
    <w:rsid w:val="00D1005C"/>
    <w:rsid w:val="00D16B20"/>
    <w:rsid w:val="00D32864"/>
    <w:rsid w:val="00D40103"/>
    <w:rsid w:val="00D41E5D"/>
    <w:rsid w:val="00D5389D"/>
    <w:rsid w:val="00D576D1"/>
    <w:rsid w:val="00D83B29"/>
    <w:rsid w:val="00DC3CA6"/>
    <w:rsid w:val="00E002AB"/>
    <w:rsid w:val="00E02D4E"/>
    <w:rsid w:val="00E1027B"/>
    <w:rsid w:val="00E556E9"/>
    <w:rsid w:val="00E5664F"/>
    <w:rsid w:val="00E57468"/>
    <w:rsid w:val="00E76682"/>
    <w:rsid w:val="00E80F4A"/>
    <w:rsid w:val="00EA25E5"/>
    <w:rsid w:val="00EB7D64"/>
    <w:rsid w:val="00EC3B5F"/>
    <w:rsid w:val="00EC6A3B"/>
    <w:rsid w:val="00ED226B"/>
    <w:rsid w:val="00ED6E0D"/>
    <w:rsid w:val="00EE6753"/>
    <w:rsid w:val="00F12E90"/>
    <w:rsid w:val="00F12F1C"/>
    <w:rsid w:val="00F17249"/>
    <w:rsid w:val="00F26924"/>
    <w:rsid w:val="00F379E5"/>
    <w:rsid w:val="00FA53C3"/>
    <w:rsid w:val="00FE749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2EF8F3"/>
  <w15:docId w15:val="{B53BD963-6526-49BE-AE12-A7BFEB62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011"/>
    <w:rPr>
      <w:rFonts w:ascii="Arial" w:eastAsiaTheme="minorHAnsi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3011"/>
    <w:rPr>
      <w:rFonts w:eastAsiaTheme="minorHAnsi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27B"/>
    <w:rPr>
      <w:rFonts w:ascii="Tahoma" w:eastAsiaTheme="minorHAns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417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D3D"/>
    <w:rPr>
      <w:rFonts w:ascii="Arial" w:eastAsiaTheme="minorHAnsi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4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D3D"/>
    <w:rPr>
      <w:rFonts w:ascii="Arial" w:eastAsiaTheme="minorHAnsi" w:hAnsi="Arial"/>
      <w:sz w:val="24"/>
      <w:szCs w:val="24"/>
      <w:lang w:eastAsia="en-US"/>
    </w:rPr>
  </w:style>
  <w:style w:type="character" w:customStyle="1" w:styleId="acalog-highlight-search-1">
    <w:name w:val="acalog-highlight-search-1"/>
    <w:basedOn w:val="DefaultParagraphFont"/>
    <w:rsid w:val="00280C95"/>
  </w:style>
  <w:style w:type="character" w:customStyle="1" w:styleId="acalog-highlight-search-2">
    <w:name w:val="acalog-highlight-search-2"/>
    <w:basedOn w:val="DefaultParagraphFont"/>
    <w:rsid w:val="00280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Anne Bialowas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 RMCR</dc:creator>
  <cp:lastModifiedBy>Anne Bialowas</cp:lastModifiedBy>
  <cp:revision>2</cp:revision>
  <cp:lastPrinted>2021-07-28T18:01:00Z</cp:lastPrinted>
  <dcterms:created xsi:type="dcterms:W3CDTF">2025-11-01T16:55:00Z</dcterms:created>
  <dcterms:modified xsi:type="dcterms:W3CDTF">2025-11-01T16:55:00Z</dcterms:modified>
</cp:coreProperties>
</file>