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9723B" w14:textId="77777777" w:rsidR="002225E7" w:rsidRPr="00557542" w:rsidRDefault="00DA2849" w:rsidP="00557542">
      <w:pPr>
        <w:widowControl w:val="0"/>
        <w:pBdr>
          <w:top w:val="nil"/>
          <w:left w:val="nil"/>
          <w:bottom w:val="nil"/>
          <w:right w:val="nil"/>
          <w:between w:val="nil"/>
        </w:pBdr>
        <w:spacing w:line="240" w:lineRule="auto"/>
        <w:ind w:right="-90"/>
        <w:jc w:val="center"/>
        <w:rPr>
          <w:rFonts w:ascii="Times New Roman" w:hAnsi="Times New Roman" w:cs="Times New Roman"/>
          <w:b/>
          <w:color w:val="000000"/>
          <w:sz w:val="28"/>
          <w:szCs w:val="28"/>
        </w:rPr>
      </w:pPr>
      <w:r w:rsidRPr="00557542">
        <w:rPr>
          <w:rFonts w:ascii="Times New Roman" w:hAnsi="Times New Roman" w:cs="Times New Roman"/>
          <w:b/>
          <w:color w:val="000000"/>
          <w:sz w:val="28"/>
          <w:szCs w:val="28"/>
        </w:rPr>
        <w:t xml:space="preserve">Jerry and Vickie </w:t>
      </w:r>
      <w:proofErr w:type="spellStart"/>
      <w:r w:rsidRPr="00557542">
        <w:rPr>
          <w:rFonts w:ascii="Times New Roman" w:hAnsi="Times New Roman" w:cs="Times New Roman"/>
          <w:b/>
          <w:color w:val="000000"/>
          <w:sz w:val="28"/>
          <w:szCs w:val="28"/>
        </w:rPr>
        <w:t>Moyes</w:t>
      </w:r>
      <w:proofErr w:type="spellEnd"/>
      <w:r w:rsidRPr="00557542">
        <w:rPr>
          <w:rFonts w:ascii="Times New Roman" w:hAnsi="Times New Roman" w:cs="Times New Roman"/>
          <w:b/>
          <w:color w:val="000000"/>
          <w:sz w:val="28"/>
          <w:szCs w:val="28"/>
        </w:rPr>
        <w:t xml:space="preserve"> College of Education </w:t>
      </w:r>
    </w:p>
    <w:p w14:paraId="14B4C535" w14:textId="11CAD27B" w:rsidR="002225E7" w:rsidRPr="00557542" w:rsidRDefault="00DA2849" w:rsidP="00557542">
      <w:pPr>
        <w:widowControl w:val="0"/>
        <w:pBdr>
          <w:top w:val="nil"/>
          <w:left w:val="nil"/>
          <w:bottom w:val="nil"/>
          <w:right w:val="nil"/>
          <w:between w:val="nil"/>
        </w:pBdr>
        <w:spacing w:line="240" w:lineRule="auto"/>
        <w:ind w:right="-90"/>
        <w:jc w:val="center"/>
        <w:rPr>
          <w:rFonts w:ascii="Times New Roman" w:hAnsi="Times New Roman" w:cs="Times New Roman"/>
          <w:b/>
          <w:color w:val="000000"/>
          <w:sz w:val="28"/>
          <w:szCs w:val="28"/>
        </w:rPr>
      </w:pPr>
      <w:r w:rsidRPr="00557542">
        <w:rPr>
          <w:rFonts w:ascii="Times New Roman" w:hAnsi="Times New Roman" w:cs="Times New Roman"/>
          <w:b/>
          <w:color w:val="000000"/>
          <w:sz w:val="28"/>
          <w:szCs w:val="28"/>
        </w:rPr>
        <w:t xml:space="preserve">POST-TENURE REVIEW DOCUMENT </w:t>
      </w:r>
    </w:p>
    <w:p w14:paraId="00000001" w14:textId="18FD68CB" w:rsidR="00A06505" w:rsidRPr="00557542" w:rsidRDefault="00DA2849" w:rsidP="00557542">
      <w:pPr>
        <w:widowControl w:val="0"/>
        <w:pBdr>
          <w:top w:val="nil"/>
          <w:left w:val="nil"/>
          <w:bottom w:val="nil"/>
          <w:right w:val="nil"/>
          <w:between w:val="nil"/>
        </w:pBdr>
        <w:spacing w:line="240" w:lineRule="auto"/>
        <w:ind w:left="1790" w:right="1612"/>
        <w:jc w:val="center"/>
        <w:rPr>
          <w:rFonts w:ascii="Times New Roman" w:hAnsi="Times New Roman" w:cs="Times New Roman"/>
          <w:i/>
          <w:color w:val="000000"/>
          <w:sz w:val="24"/>
          <w:szCs w:val="24"/>
        </w:rPr>
      </w:pPr>
      <w:r w:rsidRPr="00557542">
        <w:rPr>
          <w:rFonts w:ascii="Times New Roman" w:hAnsi="Times New Roman" w:cs="Times New Roman"/>
          <w:i/>
          <w:color w:val="000000"/>
          <w:sz w:val="24"/>
          <w:szCs w:val="24"/>
        </w:rPr>
        <w:t xml:space="preserve">Approved by Faculty Senate </w:t>
      </w:r>
      <w:r w:rsidR="0020764A">
        <w:rPr>
          <w:rFonts w:ascii="Times New Roman" w:hAnsi="Times New Roman" w:cs="Times New Roman"/>
          <w:i/>
          <w:color w:val="000000"/>
          <w:sz w:val="24"/>
          <w:szCs w:val="24"/>
        </w:rPr>
        <w:t>2.13.2020</w:t>
      </w:r>
    </w:p>
    <w:p w14:paraId="00000002" w14:textId="38C79FA4" w:rsidR="00A06505" w:rsidRDefault="00DA2849" w:rsidP="002F02A1">
      <w:pPr>
        <w:pStyle w:val="ListParagraph"/>
        <w:widowControl w:val="0"/>
        <w:numPr>
          <w:ilvl w:val="0"/>
          <w:numId w:val="5"/>
        </w:numPr>
        <w:pBdr>
          <w:top w:val="nil"/>
          <w:left w:val="nil"/>
          <w:bottom w:val="nil"/>
          <w:right w:val="nil"/>
          <w:between w:val="nil"/>
        </w:pBdr>
        <w:spacing w:before="312" w:after="240" w:line="240" w:lineRule="auto"/>
        <w:ind w:left="540" w:right="-158" w:hanging="540"/>
        <w:rPr>
          <w:rFonts w:ascii="Times New Roman" w:hAnsi="Times New Roman" w:cs="Times New Roman"/>
          <w:color w:val="000000"/>
          <w:sz w:val="24"/>
          <w:szCs w:val="24"/>
        </w:rPr>
      </w:pPr>
      <w:r w:rsidRPr="00F90DA2">
        <w:rPr>
          <w:rFonts w:ascii="Times New Roman" w:hAnsi="Times New Roman" w:cs="Times New Roman"/>
          <w:b/>
          <w:color w:val="000000"/>
          <w:sz w:val="24"/>
          <w:szCs w:val="24"/>
        </w:rPr>
        <w:t>Introduction</w:t>
      </w:r>
      <w:r w:rsidR="00F90DA2" w:rsidRPr="00F90DA2">
        <w:rPr>
          <w:rFonts w:ascii="Times New Roman" w:hAnsi="Times New Roman" w:cs="Times New Roman"/>
          <w:b/>
          <w:color w:val="000000"/>
          <w:sz w:val="24"/>
          <w:szCs w:val="24"/>
        </w:rPr>
        <w:t xml:space="preserve">.  </w:t>
      </w:r>
      <w:r w:rsidRPr="00F90DA2">
        <w:rPr>
          <w:rFonts w:ascii="Times New Roman" w:hAnsi="Times New Roman" w:cs="Times New Roman"/>
          <w:color w:val="000000"/>
          <w:sz w:val="24"/>
          <w:szCs w:val="24"/>
        </w:rPr>
        <w:t xml:space="preserve">The purpose of this document is to outline the criteria and the procedures used for post- tenure evaluation of faculty members (in accordance with PPM 8-11, II and regents policy R481) not advancing in rank within the Jerry and Vickie </w:t>
      </w:r>
      <w:proofErr w:type="spellStart"/>
      <w:r w:rsidRPr="00F90DA2">
        <w:rPr>
          <w:rFonts w:ascii="Times New Roman" w:hAnsi="Times New Roman" w:cs="Times New Roman"/>
          <w:color w:val="000000"/>
          <w:sz w:val="24"/>
          <w:szCs w:val="24"/>
        </w:rPr>
        <w:t>Moyes</w:t>
      </w:r>
      <w:proofErr w:type="spellEnd"/>
      <w:r w:rsidRPr="00F90DA2">
        <w:rPr>
          <w:rFonts w:ascii="Times New Roman" w:hAnsi="Times New Roman" w:cs="Times New Roman"/>
          <w:color w:val="000000"/>
          <w:sz w:val="24"/>
          <w:szCs w:val="24"/>
        </w:rPr>
        <w:t xml:space="preserve"> College of Education. This document does not evaluate a tenured faculty member according to tenure standards and is not a dismissal policy nor is it a substitution of faculty obligati</w:t>
      </w:r>
      <w:r w:rsidR="00C72EF3">
        <w:rPr>
          <w:rFonts w:ascii="Times New Roman" w:hAnsi="Times New Roman" w:cs="Times New Roman"/>
          <w:color w:val="000000"/>
          <w:sz w:val="24"/>
          <w:szCs w:val="24"/>
        </w:rPr>
        <w:t>ons described in PPM section 9.</w:t>
      </w:r>
    </w:p>
    <w:p w14:paraId="5D441E0F" w14:textId="77777777" w:rsidR="00C72EF3" w:rsidRDefault="00C72EF3" w:rsidP="00C72EF3">
      <w:pPr>
        <w:pStyle w:val="ListParagraph"/>
        <w:widowControl w:val="0"/>
        <w:pBdr>
          <w:top w:val="nil"/>
          <w:left w:val="nil"/>
          <w:bottom w:val="nil"/>
          <w:right w:val="nil"/>
          <w:between w:val="nil"/>
        </w:pBdr>
        <w:spacing w:before="312" w:after="240" w:line="240" w:lineRule="auto"/>
        <w:ind w:left="540" w:right="-158"/>
        <w:rPr>
          <w:rFonts w:ascii="Times New Roman" w:hAnsi="Times New Roman" w:cs="Times New Roman"/>
          <w:color w:val="000000"/>
          <w:sz w:val="24"/>
          <w:szCs w:val="24"/>
        </w:rPr>
      </w:pPr>
    </w:p>
    <w:p w14:paraId="6B7AD4F6" w14:textId="7C885DC9" w:rsidR="00F90DA2" w:rsidRDefault="00DA2849" w:rsidP="002F02A1">
      <w:pPr>
        <w:pStyle w:val="ListParagraph"/>
        <w:widowControl w:val="0"/>
        <w:numPr>
          <w:ilvl w:val="0"/>
          <w:numId w:val="5"/>
        </w:numPr>
        <w:pBdr>
          <w:top w:val="nil"/>
          <w:left w:val="nil"/>
          <w:bottom w:val="nil"/>
          <w:right w:val="nil"/>
          <w:between w:val="nil"/>
        </w:pBdr>
        <w:spacing w:before="312" w:after="240" w:line="240" w:lineRule="auto"/>
        <w:ind w:left="540" w:right="-100" w:hanging="540"/>
        <w:rPr>
          <w:rFonts w:ascii="Times New Roman" w:hAnsi="Times New Roman" w:cs="Times New Roman"/>
          <w:color w:val="000000"/>
          <w:sz w:val="24"/>
          <w:szCs w:val="24"/>
        </w:rPr>
      </w:pPr>
      <w:r w:rsidRPr="00F90DA2">
        <w:rPr>
          <w:rFonts w:ascii="Times New Roman" w:hAnsi="Times New Roman" w:cs="Times New Roman"/>
          <w:b/>
          <w:color w:val="000000"/>
          <w:sz w:val="24"/>
          <w:szCs w:val="24"/>
        </w:rPr>
        <w:t>Timing of Reviews</w:t>
      </w:r>
      <w:r w:rsidR="00F90DA2" w:rsidRPr="00F90DA2">
        <w:rPr>
          <w:rFonts w:ascii="Times New Roman" w:hAnsi="Times New Roman" w:cs="Times New Roman"/>
          <w:b/>
          <w:color w:val="000000"/>
          <w:sz w:val="24"/>
          <w:szCs w:val="24"/>
        </w:rPr>
        <w:t>.</w:t>
      </w:r>
      <w:r w:rsidRPr="00F90DA2">
        <w:rPr>
          <w:rFonts w:ascii="Times New Roman" w:hAnsi="Times New Roman" w:cs="Times New Roman"/>
          <w:b/>
          <w:color w:val="000000"/>
          <w:sz w:val="24"/>
          <w:szCs w:val="24"/>
        </w:rPr>
        <w:t xml:space="preserve"> </w:t>
      </w:r>
      <w:r w:rsidRPr="00F90DA2">
        <w:rPr>
          <w:rFonts w:ascii="Times New Roman" w:hAnsi="Times New Roman" w:cs="Times New Roman"/>
          <w:color w:val="000000"/>
          <w:sz w:val="24"/>
          <w:szCs w:val="24"/>
        </w:rPr>
        <w:t>All tenured faculty members are required to participate in post-tenure review</w:t>
      </w:r>
      <w:r w:rsidR="002225E7" w:rsidRPr="00F90DA2">
        <w:rPr>
          <w:rFonts w:ascii="Times New Roman" w:hAnsi="Times New Roman" w:cs="Times New Roman"/>
          <w:color w:val="000000"/>
          <w:sz w:val="24"/>
          <w:szCs w:val="24"/>
        </w:rPr>
        <w:t xml:space="preserve"> every five years</w:t>
      </w:r>
      <w:r w:rsidRPr="00F90DA2">
        <w:rPr>
          <w:rFonts w:ascii="Times New Roman" w:hAnsi="Times New Roman" w:cs="Times New Roman"/>
          <w:color w:val="000000"/>
          <w:sz w:val="24"/>
          <w:szCs w:val="24"/>
        </w:rPr>
        <w:t>. The first required post-tenure review is during the fifth year after tenure is awarded, or during the fifth year after any rank advancement or other formal review</w:t>
      </w:r>
      <w:r w:rsidR="002225E7" w:rsidRPr="00F90DA2">
        <w:rPr>
          <w:rFonts w:ascii="Times New Roman" w:hAnsi="Times New Roman" w:cs="Times New Roman"/>
          <w:color w:val="000000"/>
          <w:sz w:val="24"/>
          <w:szCs w:val="24"/>
        </w:rPr>
        <w:t xml:space="preserve">.  A review requested by a </w:t>
      </w:r>
      <w:r w:rsidRPr="00F90DA2">
        <w:rPr>
          <w:rFonts w:ascii="Times New Roman" w:hAnsi="Times New Roman" w:cs="Times New Roman"/>
          <w:color w:val="000000"/>
          <w:sz w:val="24"/>
          <w:szCs w:val="24"/>
        </w:rPr>
        <w:t>tenured associate professor</w:t>
      </w:r>
      <w:r w:rsidR="002225E7" w:rsidRPr="00F90DA2">
        <w:rPr>
          <w:rFonts w:ascii="Times New Roman" w:hAnsi="Times New Roman" w:cs="Times New Roman"/>
          <w:color w:val="000000"/>
          <w:sz w:val="24"/>
          <w:szCs w:val="24"/>
        </w:rPr>
        <w:t xml:space="preserve"> for</w:t>
      </w:r>
      <w:r w:rsidRPr="00F90DA2">
        <w:rPr>
          <w:rFonts w:ascii="Times New Roman" w:hAnsi="Times New Roman" w:cs="Times New Roman"/>
          <w:color w:val="000000"/>
          <w:sz w:val="24"/>
          <w:szCs w:val="24"/>
        </w:rPr>
        <w:t xml:space="preserve"> advancement in rank</w:t>
      </w:r>
      <w:r w:rsidR="002225E7" w:rsidRPr="00F90DA2">
        <w:rPr>
          <w:rFonts w:ascii="Times New Roman" w:hAnsi="Times New Roman" w:cs="Times New Roman"/>
          <w:color w:val="000000"/>
          <w:sz w:val="24"/>
          <w:szCs w:val="24"/>
        </w:rPr>
        <w:t xml:space="preserve"> to full professor</w:t>
      </w:r>
      <w:r w:rsidRPr="00F90DA2">
        <w:rPr>
          <w:rFonts w:ascii="Times New Roman" w:hAnsi="Times New Roman" w:cs="Times New Roman"/>
          <w:color w:val="000000"/>
          <w:sz w:val="24"/>
          <w:szCs w:val="24"/>
        </w:rPr>
        <w:t xml:space="preserve"> when first eligible to do so (five years after being awarded tenure) </w:t>
      </w:r>
      <w:r w:rsidR="002225E7" w:rsidRPr="00F90DA2">
        <w:rPr>
          <w:rFonts w:ascii="Times New Roman" w:hAnsi="Times New Roman" w:cs="Times New Roman"/>
          <w:color w:val="000000"/>
          <w:sz w:val="24"/>
          <w:szCs w:val="24"/>
        </w:rPr>
        <w:t xml:space="preserve">will take the place of this review.  A tenured associate professor who does not request a rank-advancement review to </w:t>
      </w:r>
      <w:r w:rsidRPr="00F90DA2">
        <w:rPr>
          <w:rFonts w:ascii="Times New Roman" w:hAnsi="Times New Roman" w:cs="Times New Roman"/>
          <w:color w:val="000000"/>
          <w:sz w:val="24"/>
          <w:szCs w:val="24"/>
        </w:rPr>
        <w:t>full professor when first eligible to do so will und</w:t>
      </w:r>
      <w:r w:rsidR="002225E7" w:rsidRPr="00F90DA2">
        <w:rPr>
          <w:rFonts w:ascii="Times New Roman" w:hAnsi="Times New Roman" w:cs="Times New Roman"/>
          <w:color w:val="000000"/>
          <w:sz w:val="24"/>
          <w:szCs w:val="24"/>
        </w:rPr>
        <w:t>ergo post-tenure review</w:t>
      </w:r>
      <w:r w:rsidRPr="00F90DA2">
        <w:rPr>
          <w:rFonts w:ascii="Times New Roman" w:hAnsi="Times New Roman" w:cs="Times New Roman"/>
          <w:color w:val="000000"/>
          <w:sz w:val="24"/>
          <w:szCs w:val="24"/>
        </w:rPr>
        <w:t>. Tenured faculty members may request to be reviewed formally at periods of less than five years. In any case where a rank advancement review takes place of a post-tenure review, or a faculty member requests early review, the five- year timeline for the next post-tenure review is reset to five years from the time of that review. The department chair, in consultation with the dean, identifies the candidates undergoing post-tenure review by January 15</w:t>
      </w:r>
      <w:r w:rsidRPr="00F90DA2">
        <w:rPr>
          <w:rFonts w:ascii="Times New Roman" w:hAnsi="Times New Roman" w:cs="Times New Roman"/>
          <w:color w:val="000000"/>
          <w:sz w:val="26"/>
          <w:szCs w:val="26"/>
          <w:vertAlign w:val="superscript"/>
        </w:rPr>
        <w:t xml:space="preserve">th </w:t>
      </w:r>
      <w:r w:rsidRPr="00F90DA2">
        <w:rPr>
          <w:rFonts w:ascii="Times New Roman" w:hAnsi="Times New Roman" w:cs="Times New Roman"/>
          <w:color w:val="000000"/>
          <w:sz w:val="24"/>
          <w:szCs w:val="24"/>
        </w:rPr>
        <w:t xml:space="preserve">of the year prior to the review year. </w:t>
      </w:r>
    </w:p>
    <w:p w14:paraId="1682DB0A" w14:textId="77777777" w:rsidR="00C72EF3" w:rsidRDefault="00C72EF3" w:rsidP="00C72EF3">
      <w:pPr>
        <w:pStyle w:val="ListParagraph"/>
        <w:widowControl w:val="0"/>
        <w:pBdr>
          <w:top w:val="nil"/>
          <w:left w:val="nil"/>
          <w:bottom w:val="nil"/>
          <w:right w:val="nil"/>
          <w:between w:val="nil"/>
        </w:pBdr>
        <w:spacing w:before="312" w:after="240" w:line="240" w:lineRule="auto"/>
        <w:ind w:left="540" w:right="-100"/>
        <w:rPr>
          <w:rFonts w:ascii="Times New Roman" w:hAnsi="Times New Roman" w:cs="Times New Roman"/>
          <w:color w:val="000000"/>
          <w:sz w:val="24"/>
          <w:szCs w:val="24"/>
        </w:rPr>
      </w:pPr>
    </w:p>
    <w:p w14:paraId="393F0AE9" w14:textId="664A0B10" w:rsidR="002F02A1" w:rsidRDefault="00F90DA2" w:rsidP="002F02A1">
      <w:pPr>
        <w:pStyle w:val="ListParagraph"/>
        <w:widowControl w:val="0"/>
        <w:numPr>
          <w:ilvl w:val="0"/>
          <w:numId w:val="5"/>
        </w:numPr>
        <w:pBdr>
          <w:top w:val="nil"/>
          <w:left w:val="nil"/>
          <w:bottom w:val="nil"/>
          <w:right w:val="nil"/>
          <w:between w:val="nil"/>
        </w:pBdr>
        <w:spacing w:before="312" w:after="240" w:line="240" w:lineRule="auto"/>
        <w:ind w:left="540" w:right="-100" w:hanging="540"/>
        <w:rPr>
          <w:rFonts w:ascii="Times New Roman" w:hAnsi="Times New Roman" w:cs="Times New Roman"/>
          <w:color w:val="000000"/>
          <w:sz w:val="24"/>
          <w:szCs w:val="24"/>
        </w:rPr>
      </w:pPr>
      <w:r w:rsidRPr="00F90DA2">
        <w:rPr>
          <w:rFonts w:ascii="Times New Roman" w:hAnsi="Times New Roman" w:cs="Times New Roman"/>
          <w:b/>
          <w:color w:val="000000"/>
          <w:sz w:val="24"/>
          <w:szCs w:val="24"/>
        </w:rPr>
        <w:t>P</w:t>
      </w:r>
      <w:r w:rsidR="00DA2849" w:rsidRPr="00F90DA2">
        <w:rPr>
          <w:rFonts w:ascii="Times New Roman" w:hAnsi="Times New Roman" w:cs="Times New Roman"/>
          <w:b/>
          <w:color w:val="000000"/>
          <w:sz w:val="24"/>
          <w:szCs w:val="24"/>
        </w:rPr>
        <w:t>ost-Tenure Review Portfolio</w:t>
      </w:r>
      <w:r>
        <w:rPr>
          <w:rFonts w:ascii="Times New Roman" w:hAnsi="Times New Roman" w:cs="Times New Roman"/>
          <w:b/>
          <w:color w:val="000000"/>
          <w:sz w:val="24"/>
          <w:szCs w:val="24"/>
        </w:rPr>
        <w:t>.</w:t>
      </w:r>
      <w:r w:rsidR="00DA2849" w:rsidRPr="00F90DA2">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Fa</w:t>
      </w:r>
      <w:r w:rsidR="00DA2849" w:rsidRPr="00F90DA2">
        <w:rPr>
          <w:rFonts w:ascii="Times New Roman" w:hAnsi="Times New Roman" w:cs="Times New Roman"/>
          <w:color w:val="000000"/>
          <w:sz w:val="24"/>
          <w:szCs w:val="24"/>
        </w:rPr>
        <w:t>culty member</w:t>
      </w:r>
      <w:r>
        <w:rPr>
          <w:rFonts w:ascii="Times New Roman" w:hAnsi="Times New Roman" w:cs="Times New Roman"/>
          <w:color w:val="000000"/>
          <w:sz w:val="24"/>
          <w:szCs w:val="24"/>
        </w:rPr>
        <w:t>s</w:t>
      </w:r>
      <w:r w:rsidR="00DA2849" w:rsidRPr="00F90DA2">
        <w:rPr>
          <w:rFonts w:ascii="Times New Roman" w:hAnsi="Times New Roman" w:cs="Times New Roman"/>
          <w:color w:val="000000"/>
          <w:sz w:val="24"/>
          <w:szCs w:val="24"/>
        </w:rPr>
        <w:t xml:space="preserve"> will maintain a </w:t>
      </w:r>
      <w:r w:rsidR="00DA2849" w:rsidRPr="002F02A1">
        <w:rPr>
          <w:rFonts w:ascii="Times New Roman" w:hAnsi="Times New Roman" w:cs="Times New Roman"/>
          <w:color w:val="000000"/>
          <w:sz w:val="24"/>
          <w:szCs w:val="24"/>
        </w:rPr>
        <w:t xml:space="preserve">post-tenure professional portfolio composed of a brief one-to-two page summary of </w:t>
      </w:r>
      <w:r w:rsidRPr="002F02A1">
        <w:rPr>
          <w:rFonts w:ascii="Times New Roman" w:hAnsi="Times New Roman" w:cs="Times New Roman"/>
          <w:color w:val="000000"/>
          <w:sz w:val="24"/>
          <w:szCs w:val="24"/>
        </w:rPr>
        <w:t>their</w:t>
      </w:r>
      <w:r w:rsidR="00DA2849" w:rsidRPr="002F02A1">
        <w:rPr>
          <w:rFonts w:ascii="Times New Roman" w:hAnsi="Times New Roman" w:cs="Times New Roman"/>
          <w:color w:val="000000"/>
          <w:sz w:val="24"/>
          <w:szCs w:val="24"/>
        </w:rPr>
        <w:t xml:space="preserve"> professional activities in the areas of teaching, scholarship, and professionally related service</w:t>
      </w:r>
      <w:r w:rsidRPr="002F02A1">
        <w:rPr>
          <w:rFonts w:ascii="Times New Roman" w:hAnsi="Times New Roman" w:cs="Times New Roman"/>
          <w:color w:val="000000"/>
          <w:sz w:val="24"/>
          <w:szCs w:val="24"/>
        </w:rPr>
        <w:t xml:space="preserve"> for the review period</w:t>
      </w:r>
      <w:r w:rsidR="00DA2849" w:rsidRPr="002F02A1">
        <w:rPr>
          <w:rFonts w:ascii="Times New Roman" w:hAnsi="Times New Roman" w:cs="Times New Roman"/>
          <w:color w:val="000000"/>
          <w:sz w:val="24"/>
          <w:szCs w:val="24"/>
        </w:rPr>
        <w:t xml:space="preserve"> and the faculty </w:t>
      </w:r>
      <w:r w:rsidRPr="002F02A1">
        <w:rPr>
          <w:rFonts w:ascii="Times New Roman" w:hAnsi="Times New Roman" w:cs="Times New Roman"/>
          <w:color w:val="000000"/>
          <w:sz w:val="24"/>
          <w:szCs w:val="24"/>
        </w:rPr>
        <w:t>annual</w:t>
      </w:r>
      <w:r w:rsidR="00DA2849" w:rsidRPr="002F02A1">
        <w:rPr>
          <w:rFonts w:ascii="Times New Roman" w:hAnsi="Times New Roman" w:cs="Times New Roman"/>
          <w:color w:val="000000"/>
          <w:sz w:val="24"/>
          <w:szCs w:val="24"/>
        </w:rPr>
        <w:t xml:space="preserve"> reports </w:t>
      </w:r>
      <w:r w:rsidR="00DA2849" w:rsidRPr="002F02A1">
        <w:rPr>
          <w:rFonts w:ascii="Times New Roman" w:hAnsi="Times New Roman" w:cs="Times New Roman"/>
          <w:i/>
          <w:color w:val="000000"/>
          <w:sz w:val="24"/>
          <w:szCs w:val="24"/>
        </w:rPr>
        <w:t xml:space="preserve">(see Appendix A). </w:t>
      </w:r>
      <w:r w:rsidR="002F02A1" w:rsidRPr="002F02A1">
        <w:rPr>
          <w:rFonts w:ascii="Times New Roman" w:hAnsi="Times New Roman" w:cs="Times New Roman"/>
          <w:color w:val="000000"/>
          <w:sz w:val="24"/>
          <w:szCs w:val="24"/>
        </w:rPr>
        <w:t xml:space="preserve"> Documentation to support the summary should be available upon request.  </w:t>
      </w:r>
      <w:r w:rsidR="00DA2849" w:rsidRPr="00F90DA2">
        <w:rPr>
          <w:rFonts w:ascii="Times New Roman" w:hAnsi="Times New Roman" w:cs="Times New Roman"/>
          <w:color w:val="000000"/>
          <w:sz w:val="24"/>
          <w:szCs w:val="24"/>
        </w:rPr>
        <w:t>Candidates</w:t>
      </w:r>
      <w:r w:rsidR="002F02A1">
        <w:rPr>
          <w:rFonts w:ascii="Times New Roman" w:hAnsi="Times New Roman" w:cs="Times New Roman"/>
          <w:color w:val="000000"/>
          <w:sz w:val="24"/>
          <w:szCs w:val="24"/>
        </w:rPr>
        <w:t xml:space="preserve"> may add additional items to</w:t>
      </w:r>
      <w:r w:rsidR="00DA2849" w:rsidRPr="00F90DA2">
        <w:rPr>
          <w:rFonts w:ascii="Times New Roman" w:hAnsi="Times New Roman" w:cs="Times New Roman"/>
          <w:color w:val="000000"/>
          <w:sz w:val="24"/>
          <w:szCs w:val="24"/>
        </w:rPr>
        <w:t xml:space="preserve"> their post-tenure portfolio at any time, except after</w:t>
      </w:r>
      <w:r w:rsidR="002F02A1">
        <w:rPr>
          <w:rFonts w:ascii="Times New Roman" w:hAnsi="Times New Roman" w:cs="Times New Roman"/>
          <w:color w:val="000000"/>
          <w:sz w:val="24"/>
          <w:szCs w:val="24"/>
        </w:rPr>
        <w:t xml:space="preserve"> between</w:t>
      </w:r>
      <w:r w:rsidR="00DA2849" w:rsidRPr="00F90DA2">
        <w:rPr>
          <w:rFonts w:ascii="Times New Roman" w:hAnsi="Times New Roman" w:cs="Times New Roman"/>
          <w:color w:val="000000"/>
          <w:sz w:val="24"/>
          <w:szCs w:val="24"/>
        </w:rPr>
        <w:t xml:space="preserve"> February 1</w:t>
      </w:r>
      <w:r w:rsidR="00DA2849" w:rsidRPr="00F90DA2">
        <w:rPr>
          <w:rFonts w:ascii="Times New Roman" w:hAnsi="Times New Roman" w:cs="Times New Roman"/>
          <w:color w:val="000000"/>
          <w:sz w:val="26"/>
          <w:szCs w:val="26"/>
          <w:vertAlign w:val="superscript"/>
        </w:rPr>
        <w:t xml:space="preserve">st </w:t>
      </w:r>
      <w:r w:rsidR="00DA2849" w:rsidRPr="00F90DA2">
        <w:rPr>
          <w:rFonts w:ascii="Times New Roman" w:hAnsi="Times New Roman" w:cs="Times New Roman"/>
          <w:color w:val="000000"/>
          <w:sz w:val="24"/>
          <w:szCs w:val="24"/>
        </w:rPr>
        <w:t>and March 1</w:t>
      </w:r>
      <w:r w:rsidR="00DA2849" w:rsidRPr="00F90DA2">
        <w:rPr>
          <w:rFonts w:ascii="Times New Roman" w:hAnsi="Times New Roman" w:cs="Times New Roman"/>
          <w:color w:val="000000"/>
          <w:sz w:val="26"/>
          <w:szCs w:val="26"/>
          <w:vertAlign w:val="superscript"/>
        </w:rPr>
        <w:t xml:space="preserve">st </w:t>
      </w:r>
      <w:r w:rsidR="00DA2849" w:rsidRPr="00F90DA2">
        <w:rPr>
          <w:rFonts w:ascii="Times New Roman" w:hAnsi="Times New Roman" w:cs="Times New Roman"/>
          <w:color w:val="000000"/>
          <w:sz w:val="24"/>
          <w:szCs w:val="24"/>
        </w:rPr>
        <w:t xml:space="preserve">of the review year. This portfolio is separate from their professional file </w:t>
      </w:r>
      <w:r w:rsidR="002F02A1">
        <w:rPr>
          <w:rFonts w:ascii="Times New Roman" w:hAnsi="Times New Roman" w:cs="Times New Roman"/>
          <w:color w:val="000000"/>
          <w:sz w:val="24"/>
          <w:szCs w:val="24"/>
        </w:rPr>
        <w:t xml:space="preserve">held in the Dean’s office. </w:t>
      </w:r>
      <w:r w:rsidR="00DA2849" w:rsidRPr="00F90DA2">
        <w:rPr>
          <w:rFonts w:ascii="Times New Roman" w:hAnsi="Times New Roman" w:cs="Times New Roman"/>
          <w:color w:val="000000"/>
          <w:sz w:val="24"/>
          <w:szCs w:val="24"/>
        </w:rPr>
        <w:t xml:space="preserve"> </w:t>
      </w:r>
    </w:p>
    <w:p w14:paraId="41975462" w14:textId="77777777" w:rsidR="00C72EF3" w:rsidRDefault="00C72EF3" w:rsidP="00C72EF3">
      <w:pPr>
        <w:pStyle w:val="ListParagraph"/>
        <w:widowControl w:val="0"/>
        <w:pBdr>
          <w:top w:val="nil"/>
          <w:left w:val="nil"/>
          <w:bottom w:val="nil"/>
          <w:right w:val="nil"/>
          <w:between w:val="nil"/>
        </w:pBdr>
        <w:spacing w:before="312" w:after="240" w:line="240" w:lineRule="auto"/>
        <w:ind w:left="540" w:right="-100"/>
        <w:rPr>
          <w:rFonts w:ascii="Times New Roman" w:hAnsi="Times New Roman" w:cs="Times New Roman"/>
          <w:color w:val="000000"/>
          <w:sz w:val="24"/>
          <w:szCs w:val="24"/>
        </w:rPr>
      </w:pPr>
    </w:p>
    <w:p w14:paraId="66E4B193" w14:textId="17A611A1" w:rsidR="002F02A1" w:rsidRDefault="00DA2849" w:rsidP="002F02A1">
      <w:pPr>
        <w:pStyle w:val="ListParagraph"/>
        <w:widowControl w:val="0"/>
        <w:numPr>
          <w:ilvl w:val="0"/>
          <w:numId w:val="5"/>
        </w:numPr>
        <w:pBdr>
          <w:top w:val="nil"/>
          <w:left w:val="nil"/>
          <w:bottom w:val="nil"/>
          <w:right w:val="nil"/>
          <w:between w:val="nil"/>
        </w:pBdr>
        <w:spacing w:before="312" w:after="240" w:line="240" w:lineRule="auto"/>
        <w:ind w:left="540" w:right="-100" w:hanging="540"/>
        <w:rPr>
          <w:rFonts w:ascii="Times New Roman" w:hAnsi="Times New Roman" w:cs="Times New Roman"/>
          <w:color w:val="000000"/>
          <w:sz w:val="24"/>
          <w:szCs w:val="24"/>
        </w:rPr>
      </w:pPr>
      <w:r w:rsidRPr="002F02A1">
        <w:rPr>
          <w:rFonts w:ascii="Times New Roman" w:hAnsi="Times New Roman" w:cs="Times New Roman"/>
          <w:b/>
          <w:color w:val="000000"/>
          <w:sz w:val="24"/>
          <w:szCs w:val="24"/>
        </w:rPr>
        <w:t>Post-Tenure Review Committee</w:t>
      </w:r>
      <w:r w:rsidR="002F02A1">
        <w:rPr>
          <w:rFonts w:ascii="Times New Roman" w:hAnsi="Times New Roman" w:cs="Times New Roman"/>
          <w:b/>
          <w:color w:val="000000"/>
          <w:sz w:val="24"/>
          <w:szCs w:val="24"/>
        </w:rPr>
        <w:t>.</w:t>
      </w:r>
      <w:r w:rsidRPr="002F02A1">
        <w:rPr>
          <w:rFonts w:ascii="Times New Roman" w:hAnsi="Times New Roman" w:cs="Times New Roman"/>
          <w:b/>
          <w:color w:val="000000"/>
          <w:sz w:val="24"/>
          <w:szCs w:val="24"/>
        </w:rPr>
        <w:t xml:space="preserve"> </w:t>
      </w:r>
      <w:r w:rsidR="002F02A1">
        <w:rPr>
          <w:rFonts w:ascii="Times New Roman" w:hAnsi="Times New Roman" w:cs="Times New Roman"/>
          <w:b/>
          <w:color w:val="000000"/>
          <w:sz w:val="24"/>
          <w:szCs w:val="24"/>
        </w:rPr>
        <w:t xml:space="preserve"> </w:t>
      </w:r>
      <w:r w:rsidRPr="002F02A1">
        <w:rPr>
          <w:rFonts w:ascii="Times New Roman" w:hAnsi="Times New Roman" w:cs="Times New Roman"/>
          <w:color w:val="000000"/>
          <w:sz w:val="24"/>
          <w:szCs w:val="24"/>
        </w:rPr>
        <w:t>In years when a department has faculty undergoing post-tenure review, the department will elect a post-tenure review committee. All tenured faculty members are eligible to nominate members to serve on this committee and to vote on committee membership. The committee will have a minimum of three and a maximum of five members. All tenured faculty members from within the department other than the department chair, who are not undergoing a post-tenure review, are eligible to serve on the committee as are all tenured faculty from outside of the department. The department chair is responsible for overseeing the election and formation of the post-tenure review committee. If the candidate under review is the department chair, then the dean or the department post- tenure review committee will evaluate the chair, determined at the discretion of the chair. By March 1</w:t>
      </w:r>
      <w:r w:rsidRPr="002F02A1">
        <w:rPr>
          <w:rFonts w:ascii="Times New Roman" w:hAnsi="Times New Roman" w:cs="Times New Roman"/>
          <w:color w:val="000000"/>
          <w:sz w:val="26"/>
          <w:szCs w:val="26"/>
          <w:vertAlign w:val="superscript"/>
        </w:rPr>
        <w:t xml:space="preserve">st </w:t>
      </w:r>
      <w:r w:rsidRPr="002F02A1">
        <w:rPr>
          <w:rFonts w:ascii="Times New Roman" w:hAnsi="Times New Roman" w:cs="Times New Roman"/>
          <w:color w:val="000000"/>
          <w:sz w:val="24"/>
          <w:szCs w:val="24"/>
        </w:rPr>
        <w:t xml:space="preserve">the members of the post-tenure review committee (or the dean if applicable for a chair’s review) will submit the evaluation findings </w:t>
      </w:r>
      <w:r w:rsidRPr="002F02A1">
        <w:rPr>
          <w:rFonts w:ascii="Times New Roman" w:hAnsi="Times New Roman" w:cs="Times New Roman"/>
          <w:i/>
          <w:color w:val="000000"/>
          <w:sz w:val="24"/>
          <w:szCs w:val="24"/>
        </w:rPr>
        <w:t xml:space="preserve">(see Appendix B) </w:t>
      </w:r>
      <w:r w:rsidRPr="002F02A1">
        <w:rPr>
          <w:rFonts w:ascii="Times New Roman" w:hAnsi="Times New Roman" w:cs="Times New Roman"/>
          <w:color w:val="000000"/>
          <w:sz w:val="24"/>
          <w:szCs w:val="24"/>
        </w:rPr>
        <w:t xml:space="preserve">to the department chair, college dean, and the candidate under review. The candidate will place their evaluation </w:t>
      </w:r>
      <w:r w:rsidRPr="002F02A1">
        <w:rPr>
          <w:rFonts w:ascii="Times New Roman" w:hAnsi="Times New Roman" w:cs="Times New Roman"/>
          <w:color w:val="000000"/>
          <w:sz w:val="24"/>
          <w:szCs w:val="24"/>
        </w:rPr>
        <w:lastRenderedPageBreak/>
        <w:t>results in their post-tenure review portfolio for their next review. The original review evaluation will be kept on file in the candid</w:t>
      </w:r>
      <w:r w:rsidR="002F02A1">
        <w:rPr>
          <w:rFonts w:ascii="Times New Roman" w:hAnsi="Times New Roman" w:cs="Times New Roman"/>
          <w:color w:val="000000"/>
          <w:sz w:val="24"/>
          <w:szCs w:val="24"/>
        </w:rPr>
        <w:t>ate’s professional file in the D</w:t>
      </w:r>
      <w:r w:rsidRPr="002F02A1">
        <w:rPr>
          <w:rFonts w:ascii="Times New Roman" w:hAnsi="Times New Roman" w:cs="Times New Roman"/>
          <w:color w:val="000000"/>
          <w:sz w:val="24"/>
          <w:szCs w:val="24"/>
        </w:rPr>
        <w:t xml:space="preserve">ean’s office. </w:t>
      </w:r>
    </w:p>
    <w:p w14:paraId="58FF199D" w14:textId="77777777" w:rsidR="00C72EF3" w:rsidRDefault="00C72EF3" w:rsidP="00C72EF3">
      <w:pPr>
        <w:pStyle w:val="ListParagraph"/>
        <w:widowControl w:val="0"/>
        <w:pBdr>
          <w:top w:val="nil"/>
          <w:left w:val="nil"/>
          <w:bottom w:val="nil"/>
          <w:right w:val="nil"/>
          <w:between w:val="nil"/>
        </w:pBdr>
        <w:spacing w:before="312" w:after="240" w:line="240" w:lineRule="auto"/>
        <w:ind w:left="540" w:right="-100"/>
        <w:rPr>
          <w:rFonts w:ascii="Times New Roman" w:hAnsi="Times New Roman" w:cs="Times New Roman"/>
          <w:color w:val="000000"/>
          <w:sz w:val="24"/>
          <w:szCs w:val="24"/>
        </w:rPr>
      </w:pPr>
    </w:p>
    <w:p w14:paraId="3FC5F909" w14:textId="6D93C12F" w:rsidR="00C72EF3" w:rsidRPr="00C72EF3" w:rsidRDefault="00DA2849" w:rsidP="00C72EF3">
      <w:pPr>
        <w:pStyle w:val="ListParagraph"/>
        <w:widowControl w:val="0"/>
        <w:numPr>
          <w:ilvl w:val="0"/>
          <w:numId w:val="5"/>
        </w:numPr>
        <w:pBdr>
          <w:top w:val="nil"/>
          <w:left w:val="nil"/>
          <w:bottom w:val="nil"/>
          <w:right w:val="nil"/>
          <w:between w:val="nil"/>
        </w:pBdr>
        <w:spacing w:line="240" w:lineRule="auto"/>
        <w:ind w:left="540" w:right="28" w:hanging="540"/>
        <w:rPr>
          <w:rFonts w:ascii="Times New Roman" w:hAnsi="Times New Roman" w:cs="Times New Roman"/>
          <w:color w:val="000000"/>
          <w:sz w:val="24"/>
          <w:szCs w:val="24"/>
        </w:rPr>
      </w:pPr>
      <w:r w:rsidRPr="002F02A1">
        <w:rPr>
          <w:rFonts w:ascii="Times New Roman" w:hAnsi="Times New Roman" w:cs="Times New Roman"/>
          <w:b/>
          <w:color w:val="000000"/>
          <w:sz w:val="24"/>
          <w:szCs w:val="24"/>
        </w:rPr>
        <w:t>Post-Tenure Ratings</w:t>
      </w:r>
      <w:r w:rsidR="002F02A1" w:rsidRPr="002F02A1">
        <w:rPr>
          <w:rFonts w:ascii="Times New Roman" w:hAnsi="Times New Roman" w:cs="Times New Roman"/>
          <w:b/>
          <w:color w:val="000000"/>
          <w:sz w:val="24"/>
          <w:szCs w:val="24"/>
        </w:rPr>
        <w:t>.</w:t>
      </w:r>
      <w:r w:rsidRPr="002F02A1">
        <w:rPr>
          <w:rFonts w:ascii="Times New Roman" w:hAnsi="Times New Roman" w:cs="Times New Roman"/>
          <w:b/>
          <w:color w:val="000000"/>
          <w:sz w:val="24"/>
          <w:szCs w:val="24"/>
        </w:rPr>
        <w:t xml:space="preserve"> </w:t>
      </w:r>
      <w:r w:rsidR="002F02A1" w:rsidRPr="002F02A1">
        <w:rPr>
          <w:rFonts w:ascii="Times New Roman" w:hAnsi="Times New Roman" w:cs="Times New Roman"/>
          <w:b/>
          <w:color w:val="000000"/>
          <w:sz w:val="24"/>
          <w:szCs w:val="24"/>
        </w:rPr>
        <w:t xml:space="preserve"> </w:t>
      </w:r>
      <w:r w:rsidRPr="002F02A1">
        <w:rPr>
          <w:rFonts w:ascii="Times New Roman" w:hAnsi="Times New Roman" w:cs="Times New Roman"/>
          <w:color w:val="000000"/>
          <w:sz w:val="24"/>
          <w:szCs w:val="24"/>
        </w:rPr>
        <w:t xml:space="preserve">Faculty members engaged in the process of post-tenure review will </w:t>
      </w:r>
      <w:r w:rsidR="002F02A1" w:rsidRPr="002F02A1">
        <w:rPr>
          <w:rFonts w:ascii="Times New Roman" w:hAnsi="Times New Roman" w:cs="Times New Roman"/>
          <w:color w:val="000000"/>
          <w:sz w:val="24"/>
          <w:szCs w:val="24"/>
        </w:rPr>
        <w:t xml:space="preserve">submit a summary detailing </w:t>
      </w:r>
      <w:r w:rsidRPr="002F02A1">
        <w:rPr>
          <w:rFonts w:ascii="Times New Roman" w:hAnsi="Times New Roman" w:cs="Times New Roman"/>
          <w:color w:val="000000"/>
          <w:sz w:val="24"/>
          <w:szCs w:val="24"/>
        </w:rPr>
        <w:t xml:space="preserve">satisfactory performance in teaching, scholarship, and service in their post-tenure portfolio. The candidate will be presumed to have a rating of satisfactory in all categories. The satisfactory rating in each category is to reflect the faculty member's academic career span with emphasis on the five-year review period prior to the post-tenure review. The review committee (or dean if reviewing a chair) will have the burden of justifying an unsatisfactory review rating in any category based on the review ratings defined in this document. </w:t>
      </w:r>
    </w:p>
    <w:p w14:paraId="600E14BE" w14:textId="77777777" w:rsidR="002F02A1" w:rsidRDefault="00DA2849" w:rsidP="002F02A1">
      <w:pPr>
        <w:pStyle w:val="ListParagraph"/>
        <w:widowControl w:val="0"/>
        <w:numPr>
          <w:ilvl w:val="1"/>
          <w:numId w:val="5"/>
        </w:numPr>
        <w:pBdr>
          <w:top w:val="nil"/>
          <w:left w:val="nil"/>
          <w:bottom w:val="nil"/>
          <w:right w:val="nil"/>
          <w:between w:val="nil"/>
        </w:pBdr>
        <w:spacing w:before="312" w:after="240" w:line="240" w:lineRule="auto"/>
        <w:ind w:right="28"/>
        <w:rPr>
          <w:rFonts w:ascii="Times New Roman" w:hAnsi="Times New Roman" w:cs="Times New Roman"/>
          <w:color w:val="000000"/>
          <w:sz w:val="24"/>
          <w:szCs w:val="24"/>
        </w:rPr>
      </w:pPr>
      <w:r w:rsidRPr="002F02A1">
        <w:rPr>
          <w:rFonts w:ascii="Times New Roman" w:hAnsi="Times New Roman" w:cs="Times New Roman"/>
          <w:b/>
          <w:color w:val="000000"/>
          <w:sz w:val="24"/>
          <w:szCs w:val="24"/>
        </w:rPr>
        <w:t>Teaching</w:t>
      </w:r>
      <w:r w:rsidR="002F02A1">
        <w:rPr>
          <w:rFonts w:ascii="Times New Roman" w:hAnsi="Times New Roman" w:cs="Times New Roman"/>
          <w:b/>
          <w:color w:val="000000"/>
          <w:sz w:val="24"/>
          <w:szCs w:val="24"/>
        </w:rPr>
        <w:t>.</w:t>
      </w:r>
      <w:r w:rsidRPr="002F02A1">
        <w:rPr>
          <w:rFonts w:ascii="Times New Roman" w:hAnsi="Times New Roman" w:cs="Times New Roman"/>
          <w:b/>
          <w:color w:val="000000"/>
          <w:sz w:val="24"/>
          <w:szCs w:val="24"/>
        </w:rPr>
        <w:t xml:space="preserve"> </w:t>
      </w:r>
      <w:r w:rsidRPr="002F02A1">
        <w:rPr>
          <w:rFonts w:ascii="Times New Roman" w:hAnsi="Times New Roman" w:cs="Times New Roman"/>
          <w:color w:val="000000"/>
          <w:sz w:val="24"/>
          <w:szCs w:val="24"/>
        </w:rPr>
        <w:t>Teaching is defined as the processes or behaviors related to organizing and delivering knowledge; evaluating and facilitating learning; and in general, transmitting content to students (see PPM 8-11.E). It is the candid</w:t>
      </w:r>
      <w:r w:rsidR="002F02A1">
        <w:rPr>
          <w:rFonts w:ascii="Times New Roman" w:hAnsi="Times New Roman" w:cs="Times New Roman"/>
          <w:color w:val="000000"/>
          <w:sz w:val="24"/>
          <w:szCs w:val="24"/>
        </w:rPr>
        <w:t xml:space="preserve">ate’s responsibility to describe satisfactory performance </w:t>
      </w:r>
      <w:r w:rsidRPr="002F02A1">
        <w:rPr>
          <w:rFonts w:ascii="Times New Roman" w:hAnsi="Times New Roman" w:cs="Times New Roman"/>
          <w:color w:val="000000"/>
          <w:sz w:val="24"/>
          <w:szCs w:val="24"/>
        </w:rPr>
        <w:t xml:space="preserve">in the post-tenure portfolio of teaching effectiveness. </w:t>
      </w:r>
    </w:p>
    <w:p w14:paraId="00000008" w14:textId="316DE59A" w:rsidR="00A06505" w:rsidRPr="002F02A1" w:rsidRDefault="00DA2849" w:rsidP="002F02A1">
      <w:pPr>
        <w:pStyle w:val="ListParagraph"/>
        <w:widowControl w:val="0"/>
        <w:numPr>
          <w:ilvl w:val="2"/>
          <w:numId w:val="5"/>
        </w:numPr>
        <w:pBdr>
          <w:top w:val="nil"/>
          <w:left w:val="nil"/>
          <w:bottom w:val="nil"/>
          <w:right w:val="nil"/>
          <w:between w:val="nil"/>
        </w:pBdr>
        <w:spacing w:before="312" w:after="240" w:line="240" w:lineRule="auto"/>
        <w:ind w:right="28"/>
        <w:rPr>
          <w:rFonts w:ascii="Times New Roman" w:hAnsi="Times New Roman" w:cs="Times New Roman"/>
          <w:color w:val="000000"/>
          <w:sz w:val="24"/>
          <w:szCs w:val="24"/>
        </w:rPr>
      </w:pPr>
      <w:r w:rsidRPr="002F02A1">
        <w:rPr>
          <w:rFonts w:ascii="Times New Roman" w:hAnsi="Times New Roman" w:cs="Times New Roman"/>
          <w:i/>
          <w:color w:val="000000"/>
          <w:sz w:val="24"/>
          <w:szCs w:val="24"/>
        </w:rPr>
        <w:t xml:space="preserve">Evidence of Teaching Includes: </w:t>
      </w:r>
    </w:p>
    <w:p w14:paraId="00000009" w14:textId="611EE115" w:rsidR="00A06505" w:rsidRPr="00557542" w:rsidRDefault="00DA2849" w:rsidP="005E4DED">
      <w:pPr>
        <w:pStyle w:val="ListParagraph"/>
        <w:widowControl w:val="0"/>
        <w:numPr>
          <w:ilvl w:val="0"/>
          <w:numId w:val="2"/>
        </w:numPr>
        <w:pBdr>
          <w:top w:val="nil"/>
          <w:left w:val="nil"/>
          <w:bottom w:val="nil"/>
          <w:right w:val="nil"/>
          <w:between w:val="nil"/>
        </w:pBdr>
        <w:tabs>
          <w:tab w:val="left" w:pos="630"/>
        </w:tabs>
        <w:spacing w:before="52" w:line="240" w:lineRule="auto"/>
        <w:ind w:left="2430" w:right="-148" w:hanging="27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Maintenance of knowledge and expertise (such as through conference attendance, scholarly works, new pedagogies, community-engaged learning, and course/curriculum currency) in the discipline especially pertaining to courses taught. </w:t>
      </w:r>
    </w:p>
    <w:p w14:paraId="0000000A" w14:textId="623F5AAA" w:rsidR="00A06505" w:rsidRPr="00557542" w:rsidRDefault="00DA2849" w:rsidP="005E4DED">
      <w:pPr>
        <w:pStyle w:val="ListParagraph"/>
        <w:widowControl w:val="0"/>
        <w:numPr>
          <w:ilvl w:val="0"/>
          <w:numId w:val="2"/>
        </w:numPr>
        <w:pBdr>
          <w:top w:val="nil"/>
          <w:left w:val="nil"/>
          <w:bottom w:val="nil"/>
          <w:right w:val="nil"/>
          <w:between w:val="nil"/>
        </w:pBdr>
        <w:tabs>
          <w:tab w:val="left" w:pos="630"/>
        </w:tabs>
        <w:spacing w:before="52" w:line="240" w:lineRule="auto"/>
        <w:ind w:left="2430" w:right="144" w:hanging="27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Providing a course syllabus for each course taught that meets departmental and institutional requirements (see PPM 4.9a). </w:t>
      </w:r>
    </w:p>
    <w:p w14:paraId="0000000B" w14:textId="5A3AFC37" w:rsidR="00A06505" w:rsidRPr="00557542" w:rsidRDefault="00DA2849" w:rsidP="005E4DED">
      <w:pPr>
        <w:pStyle w:val="ListParagraph"/>
        <w:widowControl w:val="0"/>
        <w:numPr>
          <w:ilvl w:val="0"/>
          <w:numId w:val="2"/>
        </w:numPr>
        <w:pBdr>
          <w:top w:val="nil"/>
          <w:left w:val="nil"/>
          <w:bottom w:val="nil"/>
          <w:right w:val="nil"/>
          <w:between w:val="nil"/>
        </w:pBdr>
        <w:tabs>
          <w:tab w:val="left" w:pos="630"/>
        </w:tabs>
        <w:spacing w:before="52" w:line="240" w:lineRule="auto"/>
        <w:ind w:left="2430" w:right="215" w:hanging="27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Participation in departmental and institutional assessment of learning outcomes when needed. </w:t>
      </w:r>
    </w:p>
    <w:p w14:paraId="0000000C" w14:textId="56F52822" w:rsidR="00A06505" w:rsidRPr="00557542" w:rsidRDefault="00DA2849" w:rsidP="005E4DED">
      <w:pPr>
        <w:pStyle w:val="ListParagraph"/>
        <w:widowControl w:val="0"/>
        <w:numPr>
          <w:ilvl w:val="0"/>
          <w:numId w:val="2"/>
        </w:numPr>
        <w:pBdr>
          <w:top w:val="nil"/>
          <w:left w:val="nil"/>
          <w:bottom w:val="nil"/>
          <w:right w:val="nil"/>
          <w:between w:val="nil"/>
        </w:pBdr>
        <w:tabs>
          <w:tab w:val="left" w:pos="630"/>
        </w:tabs>
        <w:spacing w:before="52" w:line="240" w:lineRule="auto"/>
        <w:ind w:left="2430" w:right="-4" w:hanging="27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Interpretation of student evaluations including tracking data and briefly summarizing trends between sections over time (a minimum of two classes per year administered by the department and an impartial third party, according to PPM 8-11, III.C., or half of the courses taught when administrative responsibilities have lessened the required teaching load). </w:t>
      </w:r>
    </w:p>
    <w:p w14:paraId="00000010" w14:textId="31FEB898" w:rsidR="00A06505" w:rsidRPr="00557542" w:rsidRDefault="00DA2849" w:rsidP="005E4DED">
      <w:pPr>
        <w:pStyle w:val="ListParagraph"/>
        <w:widowControl w:val="0"/>
        <w:numPr>
          <w:ilvl w:val="0"/>
          <w:numId w:val="2"/>
        </w:numPr>
        <w:pBdr>
          <w:top w:val="nil"/>
          <w:left w:val="nil"/>
          <w:bottom w:val="nil"/>
          <w:right w:val="nil"/>
          <w:between w:val="nil"/>
        </w:pBdr>
        <w:tabs>
          <w:tab w:val="left" w:pos="630"/>
        </w:tabs>
        <w:spacing w:line="240" w:lineRule="auto"/>
        <w:ind w:left="2430" w:right="-225" w:hanging="27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Working to improve areas noted by students and/or peers as needing improvement. </w:t>
      </w:r>
    </w:p>
    <w:p w14:paraId="5DA8C0E2" w14:textId="3DBA572C" w:rsidR="005E4DED" w:rsidRDefault="00DA2849" w:rsidP="005E4DED">
      <w:pPr>
        <w:widowControl w:val="0"/>
        <w:pBdr>
          <w:top w:val="nil"/>
          <w:left w:val="nil"/>
          <w:bottom w:val="nil"/>
          <w:right w:val="nil"/>
          <w:between w:val="nil"/>
        </w:pBdr>
        <w:spacing w:line="240" w:lineRule="auto"/>
        <w:ind w:left="1440" w:right="167"/>
        <w:rPr>
          <w:rFonts w:ascii="Times New Roman" w:hAnsi="Times New Roman" w:cs="Times New Roman"/>
          <w:color w:val="000000"/>
          <w:sz w:val="24"/>
          <w:szCs w:val="24"/>
        </w:rPr>
      </w:pPr>
      <w:r w:rsidRPr="00557542">
        <w:rPr>
          <w:rFonts w:ascii="Times New Roman" w:hAnsi="Times New Roman" w:cs="Times New Roman"/>
          <w:b/>
          <w:i/>
          <w:color w:val="000000"/>
          <w:sz w:val="24"/>
          <w:szCs w:val="24"/>
        </w:rPr>
        <w:t>Clarification of Ratings for Teaching</w:t>
      </w:r>
      <w:r w:rsidRPr="00557542">
        <w:rPr>
          <w:rFonts w:ascii="Times New Roman" w:hAnsi="Times New Roman" w:cs="Times New Roman"/>
          <w:color w:val="000000"/>
          <w:sz w:val="24"/>
          <w:szCs w:val="24"/>
        </w:rPr>
        <w:t xml:space="preserve">: A candidate shall be rated as satisfactory if he/she provides evidence and supports each teaching area aforementioned and typically receives satisfactory student evaluations. </w:t>
      </w:r>
    </w:p>
    <w:p w14:paraId="30AF088E" w14:textId="77777777" w:rsidR="00EE5074" w:rsidRDefault="00EE5074" w:rsidP="005E4DED">
      <w:pPr>
        <w:widowControl w:val="0"/>
        <w:pBdr>
          <w:top w:val="nil"/>
          <w:left w:val="nil"/>
          <w:bottom w:val="nil"/>
          <w:right w:val="nil"/>
          <w:between w:val="nil"/>
        </w:pBdr>
        <w:spacing w:line="240" w:lineRule="auto"/>
        <w:ind w:left="1440" w:right="167"/>
        <w:rPr>
          <w:rFonts w:ascii="Times New Roman" w:hAnsi="Times New Roman" w:cs="Times New Roman"/>
          <w:color w:val="000000"/>
          <w:sz w:val="24"/>
          <w:szCs w:val="24"/>
        </w:rPr>
      </w:pPr>
    </w:p>
    <w:p w14:paraId="54306588" w14:textId="2A55E9D7" w:rsidR="005E4DED" w:rsidRDefault="00DA2849" w:rsidP="005E4DED">
      <w:pPr>
        <w:pStyle w:val="ListParagraph"/>
        <w:widowControl w:val="0"/>
        <w:numPr>
          <w:ilvl w:val="1"/>
          <w:numId w:val="5"/>
        </w:numPr>
        <w:pBdr>
          <w:top w:val="nil"/>
          <w:left w:val="nil"/>
          <w:bottom w:val="nil"/>
          <w:right w:val="nil"/>
          <w:between w:val="nil"/>
        </w:pBdr>
        <w:spacing w:line="240" w:lineRule="auto"/>
        <w:ind w:right="167"/>
        <w:rPr>
          <w:rFonts w:ascii="Times New Roman" w:hAnsi="Times New Roman" w:cs="Times New Roman"/>
          <w:color w:val="000000"/>
          <w:sz w:val="24"/>
          <w:szCs w:val="24"/>
        </w:rPr>
      </w:pPr>
      <w:r w:rsidRPr="005E4DED">
        <w:rPr>
          <w:rFonts w:ascii="Times New Roman" w:hAnsi="Times New Roman" w:cs="Times New Roman"/>
          <w:b/>
          <w:color w:val="000000"/>
          <w:sz w:val="24"/>
          <w:szCs w:val="24"/>
        </w:rPr>
        <w:t>Scholarship</w:t>
      </w:r>
      <w:r w:rsidR="00557542" w:rsidRPr="005E4DED">
        <w:rPr>
          <w:rFonts w:ascii="Times New Roman" w:hAnsi="Times New Roman" w:cs="Times New Roman"/>
          <w:b/>
          <w:color w:val="000000"/>
          <w:sz w:val="24"/>
          <w:szCs w:val="24"/>
        </w:rPr>
        <w:t>.</w:t>
      </w:r>
      <w:r w:rsidRPr="005E4DED">
        <w:rPr>
          <w:rFonts w:ascii="Times New Roman" w:hAnsi="Times New Roman" w:cs="Times New Roman"/>
          <w:b/>
          <w:color w:val="000000"/>
          <w:sz w:val="24"/>
          <w:szCs w:val="24"/>
        </w:rPr>
        <w:t xml:space="preserve"> </w:t>
      </w:r>
      <w:r w:rsidRPr="005E4DED">
        <w:rPr>
          <w:rFonts w:ascii="Times New Roman" w:hAnsi="Times New Roman" w:cs="Times New Roman"/>
          <w:color w:val="000000"/>
          <w:sz w:val="24"/>
          <w:szCs w:val="24"/>
        </w:rPr>
        <w:t xml:space="preserve">Scholarship is defined as those activities that contribute to the profession and increase the individual's effectiveness as a professor by the creation of intellectual works. While the faculty member is not expected to be equally active in all areas listed below, it is the candidate’s responsibility to provide evidence in the post-tenure portfolio of professional activity indicating ongoing scholarly endeavors since the last required review at Weber State University. </w:t>
      </w:r>
    </w:p>
    <w:p w14:paraId="00000013" w14:textId="7A135EFF" w:rsidR="00A06505" w:rsidRPr="005E4DED" w:rsidRDefault="00DA2849" w:rsidP="005E4DED">
      <w:pPr>
        <w:pStyle w:val="ListParagraph"/>
        <w:widowControl w:val="0"/>
        <w:numPr>
          <w:ilvl w:val="2"/>
          <w:numId w:val="5"/>
        </w:numPr>
        <w:pBdr>
          <w:top w:val="nil"/>
          <w:left w:val="nil"/>
          <w:bottom w:val="nil"/>
          <w:right w:val="nil"/>
          <w:between w:val="nil"/>
        </w:pBdr>
        <w:spacing w:line="240" w:lineRule="auto"/>
        <w:ind w:right="167"/>
        <w:rPr>
          <w:rFonts w:ascii="Times New Roman" w:hAnsi="Times New Roman" w:cs="Times New Roman"/>
          <w:color w:val="000000"/>
          <w:sz w:val="24"/>
          <w:szCs w:val="24"/>
        </w:rPr>
      </w:pPr>
      <w:r w:rsidRPr="005E4DED">
        <w:rPr>
          <w:rFonts w:ascii="Times New Roman" w:hAnsi="Times New Roman" w:cs="Times New Roman"/>
          <w:i/>
          <w:color w:val="000000"/>
          <w:sz w:val="24"/>
          <w:szCs w:val="24"/>
        </w:rPr>
        <w:t xml:space="preserve">Evidence of Scholarship Includes: </w:t>
      </w:r>
    </w:p>
    <w:p w14:paraId="00000014" w14:textId="7B205A08"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647"/>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Refereed publications such as articles in refereed journals or </w:t>
      </w:r>
      <w:r w:rsidRPr="00557542">
        <w:rPr>
          <w:rFonts w:ascii="Times New Roman" w:hAnsi="Times New Roman" w:cs="Times New Roman"/>
          <w:color w:val="000000"/>
          <w:sz w:val="24"/>
          <w:szCs w:val="24"/>
        </w:rPr>
        <w:lastRenderedPageBreak/>
        <w:t xml:space="preserve">professional periodicals. </w:t>
      </w:r>
    </w:p>
    <w:p w14:paraId="00000015" w14:textId="21A26048"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72"/>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Textbook, textbook chapters, other professionally written and credibly published learning materials. </w:t>
      </w:r>
    </w:p>
    <w:p w14:paraId="00000016" w14:textId="2DF10242"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95"/>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Non-refereed publications such as books, book reviews, published monographs, or other professionally reviewed written material. </w:t>
      </w:r>
    </w:p>
    <w:p w14:paraId="00000017" w14:textId="76D1805E"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47"/>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Professional presentations such as papers presented at international, national, regional, or state conferences or workshops. </w:t>
      </w:r>
    </w:p>
    <w:p w14:paraId="00000018" w14:textId="5EF93EBB"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47"/>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Projects such as grants, undergraduate, graduate, community-based, and action research, teaching innovations and developments, or other long-term professional associations with a public school, a service agency, or other field-based setting appropriate to the individual's discipline. </w:t>
      </w:r>
    </w:p>
    <w:p w14:paraId="00000019" w14:textId="00CAD9E0"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ight="-182"/>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Professional improvement such as additional degrees beyond the terminal degree, formal postgraduate study, documentation of additional training, additional or increased expertise through self-study and conference attendance, development of new courses and/or programs, or significant modifications to existing courses or programs. </w:t>
      </w:r>
    </w:p>
    <w:p w14:paraId="0000001A" w14:textId="7AC25ACB" w:rsidR="00A06505" w:rsidRPr="00557542" w:rsidRDefault="00DA2849" w:rsidP="00EE5074">
      <w:pPr>
        <w:pStyle w:val="ListParagraph"/>
        <w:widowControl w:val="0"/>
        <w:numPr>
          <w:ilvl w:val="0"/>
          <w:numId w:val="2"/>
        </w:numPr>
        <w:pBdr>
          <w:top w:val="nil"/>
          <w:left w:val="nil"/>
          <w:bottom w:val="nil"/>
          <w:right w:val="nil"/>
          <w:between w:val="nil"/>
        </w:pBdr>
        <w:spacing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O</w:t>
      </w:r>
      <w:r w:rsidR="005E4DED">
        <w:rPr>
          <w:rFonts w:ascii="Times New Roman" w:hAnsi="Times New Roman" w:cs="Times New Roman"/>
          <w:color w:val="000000"/>
          <w:sz w:val="24"/>
          <w:szCs w:val="24"/>
        </w:rPr>
        <w:t>ther relevant p</w:t>
      </w:r>
      <w:r w:rsidRPr="00557542">
        <w:rPr>
          <w:rFonts w:ascii="Times New Roman" w:hAnsi="Times New Roman" w:cs="Times New Roman"/>
          <w:color w:val="000000"/>
          <w:sz w:val="24"/>
          <w:szCs w:val="24"/>
        </w:rPr>
        <w:t xml:space="preserve">rofessional scholarship. </w:t>
      </w:r>
    </w:p>
    <w:p w14:paraId="0A6AF38A" w14:textId="77777777" w:rsidR="005E4DED" w:rsidRDefault="00DA2849" w:rsidP="00EE5074">
      <w:pPr>
        <w:widowControl w:val="0"/>
        <w:pBdr>
          <w:top w:val="nil"/>
          <w:left w:val="nil"/>
          <w:bottom w:val="nil"/>
          <w:right w:val="nil"/>
          <w:between w:val="nil"/>
        </w:pBdr>
        <w:tabs>
          <w:tab w:val="left" w:pos="2070"/>
        </w:tabs>
        <w:spacing w:line="240" w:lineRule="auto"/>
        <w:ind w:left="1440" w:right="278"/>
        <w:rPr>
          <w:rFonts w:ascii="Times New Roman" w:hAnsi="Times New Roman" w:cs="Times New Roman"/>
          <w:color w:val="000000"/>
          <w:sz w:val="24"/>
          <w:szCs w:val="24"/>
        </w:rPr>
      </w:pPr>
      <w:r w:rsidRPr="00557542">
        <w:rPr>
          <w:rFonts w:ascii="Times New Roman" w:hAnsi="Times New Roman" w:cs="Times New Roman"/>
          <w:b/>
          <w:i/>
          <w:color w:val="000000"/>
          <w:sz w:val="24"/>
          <w:szCs w:val="24"/>
        </w:rPr>
        <w:t>Satisfactory Rating for Scholarship</w:t>
      </w:r>
      <w:r w:rsidRPr="00557542">
        <w:rPr>
          <w:rFonts w:ascii="Times New Roman" w:hAnsi="Times New Roman" w:cs="Times New Roman"/>
          <w:b/>
          <w:color w:val="000000"/>
          <w:sz w:val="24"/>
          <w:szCs w:val="24"/>
        </w:rPr>
        <w:t xml:space="preserve">: </w:t>
      </w:r>
      <w:r w:rsidRPr="00557542">
        <w:rPr>
          <w:rFonts w:ascii="Times New Roman" w:hAnsi="Times New Roman" w:cs="Times New Roman"/>
          <w:color w:val="000000"/>
          <w:sz w:val="24"/>
          <w:szCs w:val="24"/>
        </w:rPr>
        <w:t xml:space="preserve">A candidate shall be rated as satisfactory if he/she demonstrates a pattern of scholarly work that includes a minimum of three scholarship contributions above. </w:t>
      </w:r>
    </w:p>
    <w:p w14:paraId="1ABE346B" w14:textId="77777777" w:rsidR="005E4DED" w:rsidRDefault="00DA2849" w:rsidP="005E4DED">
      <w:pPr>
        <w:pStyle w:val="ListParagraph"/>
        <w:widowControl w:val="0"/>
        <w:numPr>
          <w:ilvl w:val="1"/>
          <w:numId w:val="5"/>
        </w:numPr>
        <w:pBdr>
          <w:top w:val="nil"/>
          <w:left w:val="nil"/>
          <w:bottom w:val="nil"/>
          <w:right w:val="nil"/>
          <w:between w:val="nil"/>
        </w:pBdr>
        <w:tabs>
          <w:tab w:val="left" w:pos="2070"/>
        </w:tabs>
        <w:spacing w:before="312" w:line="240" w:lineRule="auto"/>
        <w:ind w:right="278"/>
        <w:rPr>
          <w:rFonts w:ascii="Times New Roman" w:hAnsi="Times New Roman" w:cs="Times New Roman"/>
          <w:color w:val="000000"/>
          <w:sz w:val="24"/>
          <w:szCs w:val="24"/>
        </w:rPr>
      </w:pPr>
      <w:r w:rsidRPr="005E4DED">
        <w:rPr>
          <w:rFonts w:ascii="Times New Roman" w:hAnsi="Times New Roman" w:cs="Times New Roman"/>
          <w:b/>
          <w:color w:val="000000"/>
          <w:sz w:val="24"/>
          <w:szCs w:val="24"/>
        </w:rPr>
        <w:t>Professionally Related Service</w:t>
      </w:r>
      <w:r w:rsidR="005E4DED">
        <w:rPr>
          <w:rFonts w:ascii="Times New Roman" w:hAnsi="Times New Roman" w:cs="Times New Roman"/>
          <w:b/>
          <w:color w:val="000000"/>
          <w:sz w:val="24"/>
          <w:szCs w:val="24"/>
        </w:rPr>
        <w:t xml:space="preserve">. </w:t>
      </w:r>
      <w:r w:rsidRPr="005E4DED">
        <w:rPr>
          <w:rFonts w:ascii="Times New Roman" w:hAnsi="Times New Roman" w:cs="Times New Roman"/>
          <w:b/>
          <w:color w:val="000000"/>
          <w:sz w:val="24"/>
          <w:szCs w:val="24"/>
        </w:rPr>
        <w:t xml:space="preserve"> </w:t>
      </w:r>
      <w:r w:rsidRPr="005E4DED">
        <w:rPr>
          <w:rFonts w:ascii="Times New Roman" w:hAnsi="Times New Roman" w:cs="Times New Roman"/>
          <w:color w:val="000000"/>
          <w:sz w:val="24"/>
          <w:szCs w:val="24"/>
        </w:rPr>
        <w:t xml:space="preserve">Professional service is defined as those activities that provide professionally related value to the institution, the community, or professional organizations. While the faculty member is not expected to be equally active in all areas listed below, it is the candidate’s responsibility to provide evidence in the post-tenure portfolio of successful administrative and/or </w:t>
      </w:r>
      <w:r w:rsidR="005E4DED">
        <w:rPr>
          <w:rFonts w:ascii="Times New Roman" w:hAnsi="Times New Roman" w:cs="Times New Roman"/>
          <w:color w:val="000000"/>
          <w:sz w:val="24"/>
          <w:szCs w:val="24"/>
        </w:rPr>
        <w:t>professionally-related service.</w:t>
      </w:r>
    </w:p>
    <w:p w14:paraId="00000020" w14:textId="1EE03782" w:rsidR="00A06505" w:rsidRPr="005E4DED" w:rsidRDefault="00DA2849" w:rsidP="005E4DED">
      <w:pPr>
        <w:pStyle w:val="ListParagraph"/>
        <w:widowControl w:val="0"/>
        <w:numPr>
          <w:ilvl w:val="2"/>
          <w:numId w:val="5"/>
        </w:numPr>
        <w:pBdr>
          <w:top w:val="nil"/>
          <w:left w:val="nil"/>
          <w:bottom w:val="nil"/>
          <w:right w:val="nil"/>
          <w:between w:val="nil"/>
        </w:pBdr>
        <w:tabs>
          <w:tab w:val="left" w:pos="2070"/>
        </w:tabs>
        <w:spacing w:before="312" w:line="240" w:lineRule="auto"/>
        <w:ind w:right="278"/>
        <w:rPr>
          <w:rFonts w:ascii="Times New Roman" w:hAnsi="Times New Roman" w:cs="Times New Roman"/>
          <w:color w:val="000000"/>
          <w:sz w:val="24"/>
          <w:szCs w:val="24"/>
        </w:rPr>
      </w:pPr>
      <w:r w:rsidRPr="005E4DED">
        <w:rPr>
          <w:rFonts w:ascii="Times New Roman" w:hAnsi="Times New Roman" w:cs="Times New Roman"/>
          <w:i/>
          <w:color w:val="000000"/>
          <w:sz w:val="24"/>
          <w:szCs w:val="24"/>
        </w:rPr>
        <w:t xml:space="preserve">Evidence of Service Includes: </w:t>
      </w:r>
    </w:p>
    <w:p w14:paraId="00000021" w14:textId="67C7E337"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Leadership positions in professional organizations. </w:t>
      </w:r>
    </w:p>
    <w:p w14:paraId="00000022" w14:textId="7378F5EF"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Membership in professional organizations. </w:t>
      </w:r>
    </w:p>
    <w:p w14:paraId="00000023" w14:textId="072A0F9C"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Professionally-related community activities such as speech making or serving on community boards. </w:t>
      </w:r>
    </w:p>
    <w:p w14:paraId="00000024" w14:textId="6FFDC2B9"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WSU committee assignments at the department, college, and/or university levels. </w:t>
      </w:r>
    </w:p>
    <w:p w14:paraId="00000025" w14:textId="705B16C5"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Service publications such as newsletters, newspapers, popular magazine articles, and media interviews. </w:t>
      </w:r>
    </w:p>
    <w:p w14:paraId="00000026" w14:textId="0CEA7547"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Professional service supporting conferences, workshops, and seminars. </w:t>
      </w:r>
    </w:p>
    <w:p w14:paraId="00000027" w14:textId="61E7FC8D"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Administrative assignments within the university. </w:t>
      </w:r>
    </w:p>
    <w:p w14:paraId="00000028" w14:textId="334D127F"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Student advisement activities or serving as an advisor to a student professional organization. </w:t>
      </w:r>
    </w:p>
    <w:p w14:paraId="00000029" w14:textId="7A1ED7E9" w:rsidR="00A06505" w:rsidRPr="00557542" w:rsidRDefault="00DA2849" w:rsidP="005E4DED">
      <w:pPr>
        <w:pStyle w:val="ListParagraph"/>
        <w:widowControl w:val="0"/>
        <w:numPr>
          <w:ilvl w:val="0"/>
          <w:numId w:val="2"/>
        </w:numPr>
        <w:pBdr>
          <w:top w:val="nil"/>
          <w:left w:val="nil"/>
          <w:bottom w:val="nil"/>
          <w:right w:val="nil"/>
          <w:between w:val="nil"/>
        </w:pBdr>
        <w:spacing w:before="52"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Developmental activities which are service in nature, such as consulting. </w:t>
      </w:r>
    </w:p>
    <w:p w14:paraId="0000002A" w14:textId="68F35BBE" w:rsidR="00A06505" w:rsidRPr="00557542" w:rsidRDefault="00DA2849" w:rsidP="00EE5074">
      <w:pPr>
        <w:pStyle w:val="ListParagraph"/>
        <w:widowControl w:val="0"/>
        <w:numPr>
          <w:ilvl w:val="0"/>
          <w:numId w:val="2"/>
        </w:numPr>
        <w:pBdr>
          <w:top w:val="nil"/>
          <w:left w:val="nil"/>
          <w:bottom w:val="nil"/>
          <w:right w:val="nil"/>
          <w:between w:val="nil"/>
        </w:pBdr>
        <w:spacing w:line="240" w:lineRule="auto"/>
        <w:ind w:left="2520"/>
        <w:rPr>
          <w:rFonts w:ascii="Times New Roman" w:hAnsi="Times New Roman" w:cs="Times New Roman"/>
          <w:color w:val="000000"/>
          <w:sz w:val="24"/>
          <w:szCs w:val="24"/>
        </w:rPr>
      </w:pPr>
      <w:r w:rsidRPr="00557542">
        <w:rPr>
          <w:rFonts w:ascii="Times New Roman" w:hAnsi="Times New Roman" w:cs="Times New Roman"/>
          <w:color w:val="000000"/>
          <w:sz w:val="24"/>
          <w:szCs w:val="24"/>
        </w:rPr>
        <w:t xml:space="preserve">Other relevant professional service. </w:t>
      </w:r>
    </w:p>
    <w:p w14:paraId="0000002B" w14:textId="77777777" w:rsidR="00A06505" w:rsidRPr="00557542" w:rsidRDefault="00DA2849" w:rsidP="00EE5074">
      <w:pPr>
        <w:widowControl w:val="0"/>
        <w:pBdr>
          <w:top w:val="nil"/>
          <w:left w:val="nil"/>
          <w:bottom w:val="nil"/>
          <w:right w:val="nil"/>
          <w:between w:val="nil"/>
        </w:pBdr>
        <w:spacing w:line="240" w:lineRule="auto"/>
        <w:ind w:left="1440" w:right="326"/>
        <w:rPr>
          <w:rFonts w:ascii="Times New Roman" w:hAnsi="Times New Roman" w:cs="Times New Roman"/>
          <w:color w:val="000000"/>
          <w:sz w:val="24"/>
          <w:szCs w:val="24"/>
        </w:rPr>
      </w:pPr>
      <w:r w:rsidRPr="00557542">
        <w:rPr>
          <w:rFonts w:ascii="Times New Roman" w:hAnsi="Times New Roman" w:cs="Times New Roman"/>
          <w:b/>
          <w:i/>
          <w:color w:val="000000"/>
          <w:sz w:val="24"/>
          <w:szCs w:val="24"/>
        </w:rPr>
        <w:t xml:space="preserve">Satisfactory Rating for Service: </w:t>
      </w:r>
      <w:r w:rsidRPr="00557542">
        <w:rPr>
          <w:rFonts w:ascii="Times New Roman" w:hAnsi="Times New Roman" w:cs="Times New Roman"/>
          <w:color w:val="000000"/>
          <w:sz w:val="24"/>
          <w:szCs w:val="24"/>
        </w:rPr>
        <w:t xml:space="preserve">A candidate shall be rated satisfactory if he/she accepts and performs, in a professional manner, a minimum of three </w:t>
      </w:r>
      <w:r w:rsidRPr="00557542">
        <w:rPr>
          <w:rFonts w:ascii="Times New Roman" w:hAnsi="Times New Roman" w:cs="Times New Roman"/>
          <w:color w:val="000000"/>
          <w:sz w:val="24"/>
          <w:szCs w:val="24"/>
        </w:rPr>
        <w:lastRenderedPageBreak/>
        <w:t xml:space="preserve">service contributions (with at least one contribution to WSU) above. </w:t>
      </w:r>
    </w:p>
    <w:p w14:paraId="0EB1E640" w14:textId="7AB66AC5" w:rsidR="00C72EF3" w:rsidRPr="00C72EF3" w:rsidRDefault="00DA2849" w:rsidP="00C72EF3">
      <w:pPr>
        <w:pStyle w:val="ListParagraph"/>
        <w:widowControl w:val="0"/>
        <w:numPr>
          <w:ilvl w:val="0"/>
          <w:numId w:val="5"/>
        </w:numPr>
        <w:pBdr>
          <w:top w:val="nil"/>
          <w:left w:val="nil"/>
          <w:bottom w:val="nil"/>
          <w:right w:val="nil"/>
          <w:between w:val="nil"/>
        </w:pBdr>
        <w:spacing w:before="312" w:line="240" w:lineRule="auto"/>
        <w:ind w:left="540" w:right="-47" w:hanging="540"/>
        <w:rPr>
          <w:rFonts w:ascii="Times New Roman" w:hAnsi="Times New Roman" w:cs="Times New Roman"/>
          <w:color w:val="000000"/>
          <w:sz w:val="24"/>
          <w:szCs w:val="24"/>
        </w:rPr>
      </w:pPr>
      <w:r w:rsidRPr="00C72EF3">
        <w:rPr>
          <w:rFonts w:ascii="Times New Roman" w:hAnsi="Times New Roman" w:cs="Times New Roman"/>
          <w:b/>
          <w:color w:val="000000"/>
          <w:sz w:val="24"/>
          <w:szCs w:val="24"/>
        </w:rPr>
        <w:t>Remedial Actions Based on Unsuccessful Post-Tenure Review</w:t>
      </w:r>
      <w:r w:rsidR="00C72EF3" w:rsidRPr="00C72EF3">
        <w:rPr>
          <w:rFonts w:ascii="Times New Roman" w:hAnsi="Times New Roman" w:cs="Times New Roman"/>
          <w:b/>
          <w:color w:val="000000"/>
          <w:sz w:val="24"/>
          <w:szCs w:val="24"/>
        </w:rPr>
        <w:t xml:space="preserve">. </w:t>
      </w:r>
      <w:r w:rsidRPr="00C72EF3">
        <w:rPr>
          <w:rFonts w:ascii="Times New Roman" w:hAnsi="Times New Roman" w:cs="Times New Roman"/>
          <w:b/>
          <w:color w:val="000000"/>
          <w:sz w:val="24"/>
          <w:szCs w:val="24"/>
        </w:rPr>
        <w:t xml:space="preserve"> </w:t>
      </w:r>
      <w:r w:rsidRPr="00C72EF3">
        <w:rPr>
          <w:rFonts w:ascii="Times New Roman" w:hAnsi="Times New Roman" w:cs="Times New Roman"/>
          <w:color w:val="000000"/>
          <w:sz w:val="24"/>
          <w:szCs w:val="24"/>
        </w:rPr>
        <w:t xml:space="preserve">If the faculty member is found to not be meeting the minimum satisfactory rating in teaching, scholarship, or service then the post-tenure review is considered unsuccessful. </w:t>
      </w:r>
    </w:p>
    <w:p w14:paraId="09ECA606" w14:textId="42279C18" w:rsidR="00C72EF3" w:rsidRDefault="00DA2849" w:rsidP="00C72EF3">
      <w:pPr>
        <w:pStyle w:val="ListParagraph"/>
        <w:widowControl w:val="0"/>
        <w:numPr>
          <w:ilvl w:val="1"/>
          <w:numId w:val="5"/>
        </w:numPr>
        <w:pBdr>
          <w:top w:val="nil"/>
          <w:left w:val="nil"/>
          <w:bottom w:val="nil"/>
          <w:right w:val="nil"/>
          <w:between w:val="nil"/>
        </w:pBdr>
        <w:spacing w:before="312" w:line="240" w:lineRule="auto"/>
        <w:ind w:right="-47"/>
        <w:rPr>
          <w:rFonts w:ascii="Times New Roman" w:hAnsi="Times New Roman" w:cs="Times New Roman"/>
          <w:color w:val="000000"/>
          <w:sz w:val="24"/>
          <w:szCs w:val="24"/>
        </w:rPr>
      </w:pPr>
      <w:r w:rsidRPr="00C72EF3">
        <w:rPr>
          <w:rFonts w:ascii="Times New Roman" w:hAnsi="Times New Roman" w:cs="Times New Roman"/>
          <w:b/>
          <w:color w:val="000000"/>
          <w:sz w:val="24"/>
          <w:szCs w:val="24"/>
        </w:rPr>
        <w:t>First Unsuccessful Review</w:t>
      </w:r>
      <w:r w:rsidR="00C72EF3">
        <w:rPr>
          <w:rFonts w:ascii="Times New Roman" w:hAnsi="Times New Roman" w:cs="Times New Roman"/>
          <w:b/>
          <w:color w:val="000000"/>
          <w:sz w:val="24"/>
          <w:szCs w:val="24"/>
        </w:rPr>
        <w:t>.</w:t>
      </w:r>
      <w:r w:rsidRPr="00C72EF3">
        <w:rPr>
          <w:rFonts w:ascii="Times New Roman" w:hAnsi="Times New Roman" w:cs="Times New Roman"/>
          <w:b/>
          <w:color w:val="000000"/>
          <w:sz w:val="24"/>
          <w:szCs w:val="24"/>
        </w:rPr>
        <w:t xml:space="preserve"> </w:t>
      </w:r>
      <w:r w:rsidRPr="00C72EF3">
        <w:rPr>
          <w:rFonts w:ascii="Times New Roman" w:hAnsi="Times New Roman" w:cs="Times New Roman"/>
          <w:color w:val="000000"/>
          <w:sz w:val="24"/>
          <w:szCs w:val="24"/>
        </w:rPr>
        <w:t xml:space="preserve">The faculty member will undergo post-tenure review in a period of not less than three years as determined by the department chair and college dean. The faculty member is responsible for remediating the rating deficiencies and both the university and college are expected to assist through developmental opportunities. The candidate will meet with his/her dean and department chair to establish developmental activities to improve performance (such as but not limited to mentorship, sabbatical, revised teaching responsibilities, and conference attendance). The mutually agreed upon plan will be signed and attached to the post-tenure review results to be housed in the candidate’s professional file in the dean’s office. A copy should also be kept by the department chair and candidate. </w:t>
      </w:r>
    </w:p>
    <w:p w14:paraId="7A8B2441" w14:textId="40A8B367" w:rsidR="00C72EF3" w:rsidRPr="00EE5074" w:rsidRDefault="00DA2849" w:rsidP="00BD5B89">
      <w:pPr>
        <w:pStyle w:val="ListParagraph"/>
        <w:widowControl w:val="0"/>
        <w:numPr>
          <w:ilvl w:val="1"/>
          <w:numId w:val="5"/>
        </w:numPr>
        <w:pBdr>
          <w:top w:val="nil"/>
          <w:left w:val="nil"/>
          <w:bottom w:val="nil"/>
          <w:right w:val="nil"/>
          <w:between w:val="nil"/>
        </w:pBdr>
        <w:spacing w:before="604" w:line="240" w:lineRule="auto"/>
        <w:ind w:right="676"/>
        <w:rPr>
          <w:rFonts w:ascii="Times New Roman" w:eastAsia="Times New Roman" w:hAnsi="Times New Roman" w:cs="Times New Roman"/>
          <w:b/>
          <w:sz w:val="24"/>
          <w:szCs w:val="24"/>
        </w:rPr>
      </w:pPr>
      <w:r w:rsidRPr="00C72EF3">
        <w:rPr>
          <w:rFonts w:ascii="Times New Roman" w:hAnsi="Times New Roman" w:cs="Times New Roman"/>
          <w:b/>
          <w:color w:val="000000"/>
          <w:sz w:val="24"/>
          <w:szCs w:val="24"/>
        </w:rPr>
        <w:t>Second Unsuccessful Review</w:t>
      </w:r>
      <w:r w:rsidR="00C72EF3" w:rsidRPr="00C72EF3">
        <w:rPr>
          <w:rFonts w:ascii="Times New Roman" w:hAnsi="Times New Roman" w:cs="Times New Roman"/>
          <w:b/>
          <w:color w:val="000000"/>
          <w:sz w:val="24"/>
          <w:szCs w:val="24"/>
        </w:rPr>
        <w:t>.</w:t>
      </w:r>
      <w:r w:rsidRPr="00C72EF3">
        <w:rPr>
          <w:rFonts w:ascii="Times New Roman" w:hAnsi="Times New Roman" w:cs="Times New Roman"/>
          <w:b/>
          <w:color w:val="000000"/>
          <w:sz w:val="24"/>
          <w:szCs w:val="24"/>
        </w:rPr>
        <w:t xml:space="preserve"> </w:t>
      </w:r>
      <w:r w:rsidRPr="00C72EF3">
        <w:rPr>
          <w:rFonts w:ascii="Times New Roman" w:hAnsi="Times New Roman" w:cs="Times New Roman"/>
          <w:color w:val="000000"/>
          <w:sz w:val="24"/>
          <w:szCs w:val="24"/>
        </w:rPr>
        <w:t>A faculty member's failure to successfully remediate deficiencies after two successive unsatisfactory reviews may result in subsequent action governed by due process pursuant to the standards and policies contained in PPM</w:t>
      </w:r>
      <w:r w:rsidR="00C72EF3">
        <w:rPr>
          <w:rFonts w:ascii="Times New Roman" w:hAnsi="Times New Roman" w:cs="Times New Roman"/>
          <w:color w:val="000000"/>
          <w:sz w:val="24"/>
          <w:szCs w:val="24"/>
        </w:rPr>
        <w:t xml:space="preserve"> 8-25 and PPM 9-9 through 9-17.</w:t>
      </w:r>
    </w:p>
    <w:p w14:paraId="22F7423F" w14:textId="77777777" w:rsidR="00EE5074" w:rsidRPr="00C72EF3" w:rsidRDefault="00EE5074" w:rsidP="00EE5074">
      <w:pPr>
        <w:pStyle w:val="ListParagraph"/>
        <w:widowControl w:val="0"/>
        <w:pBdr>
          <w:top w:val="nil"/>
          <w:left w:val="nil"/>
          <w:bottom w:val="nil"/>
          <w:right w:val="nil"/>
          <w:between w:val="nil"/>
        </w:pBdr>
        <w:spacing w:before="604" w:line="240" w:lineRule="auto"/>
        <w:ind w:left="1440" w:right="676"/>
        <w:rPr>
          <w:rFonts w:ascii="Times New Roman" w:eastAsia="Times New Roman" w:hAnsi="Times New Roman" w:cs="Times New Roman"/>
          <w:b/>
          <w:sz w:val="24"/>
          <w:szCs w:val="24"/>
        </w:rPr>
      </w:pPr>
    </w:p>
    <w:p w14:paraId="7B4573BC" w14:textId="77777777" w:rsidR="00C72EF3" w:rsidRDefault="00557542" w:rsidP="004F4C99">
      <w:pPr>
        <w:pStyle w:val="ListParagraph"/>
        <w:widowControl w:val="0"/>
        <w:numPr>
          <w:ilvl w:val="0"/>
          <w:numId w:val="5"/>
        </w:numPr>
        <w:pBdr>
          <w:top w:val="nil"/>
          <w:left w:val="nil"/>
          <w:bottom w:val="nil"/>
          <w:right w:val="nil"/>
          <w:between w:val="nil"/>
        </w:pBdr>
        <w:spacing w:before="302" w:line="240" w:lineRule="auto"/>
        <w:ind w:right="676"/>
        <w:rPr>
          <w:rFonts w:ascii="Times New Roman" w:eastAsia="Times New Roman" w:hAnsi="Times New Roman" w:cs="Times New Roman"/>
          <w:sz w:val="24"/>
          <w:szCs w:val="24"/>
        </w:rPr>
      </w:pPr>
      <w:r w:rsidRPr="00C72EF3">
        <w:rPr>
          <w:rFonts w:ascii="Times New Roman" w:eastAsia="Times New Roman" w:hAnsi="Times New Roman" w:cs="Times New Roman"/>
          <w:b/>
          <w:sz w:val="24"/>
          <w:szCs w:val="24"/>
        </w:rPr>
        <w:t>Alternative Procedure fo</w:t>
      </w:r>
      <w:r w:rsidR="00C72EF3" w:rsidRPr="00C72EF3">
        <w:rPr>
          <w:rFonts w:ascii="Times New Roman" w:eastAsia="Times New Roman" w:hAnsi="Times New Roman" w:cs="Times New Roman"/>
          <w:b/>
          <w:sz w:val="24"/>
          <w:szCs w:val="24"/>
        </w:rPr>
        <w:t xml:space="preserve">r Completing Post-Tenure Review.  </w:t>
      </w:r>
      <w:r w:rsidR="00DA2849" w:rsidRPr="00C72EF3">
        <w:rPr>
          <w:rFonts w:ascii="Times New Roman" w:eastAsia="Times New Roman" w:hAnsi="Times New Roman" w:cs="Times New Roman"/>
          <w:sz w:val="24"/>
          <w:szCs w:val="24"/>
        </w:rPr>
        <w:t xml:space="preserve">In 2014-15, WSU created a program called the Performance Compensation Plan (PCP). This plan allows faculty who have held the rank of full professor for at least a specified threshold of years to apply for a permanent raise. </w:t>
      </w:r>
      <w:r w:rsidRPr="00C72EF3">
        <w:rPr>
          <w:rFonts w:ascii="Times New Roman" w:eastAsia="Times New Roman" w:hAnsi="Times New Roman" w:cs="Times New Roman"/>
          <w:sz w:val="24"/>
          <w:szCs w:val="24"/>
        </w:rPr>
        <w:t xml:space="preserve"> </w:t>
      </w:r>
      <w:r w:rsidR="00DA2849" w:rsidRPr="00C72EF3">
        <w:rPr>
          <w:rFonts w:ascii="Times New Roman" w:eastAsia="Times New Roman" w:hAnsi="Times New Roman" w:cs="Times New Roman"/>
          <w:sz w:val="24"/>
          <w:szCs w:val="24"/>
        </w:rPr>
        <w:t>The application process requires that faculty provide a detailed report of their teaching, scholarship and service over the most recent five years. In order for the faculty member to be eligible for the raise, the faculty member’s record must be sufficient so that the faculty member would again earn promotion to full professor. The department chair and dean evaluate that record and write letters indicating whether it</w:t>
      </w:r>
      <w:r w:rsidRPr="00C72EF3">
        <w:rPr>
          <w:rFonts w:ascii="Times New Roman" w:eastAsia="Times New Roman" w:hAnsi="Times New Roman" w:cs="Times New Roman"/>
          <w:sz w:val="24"/>
          <w:szCs w:val="24"/>
        </w:rPr>
        <w:t xml:space="preserve"> would qualify the faculty under PPM 8-11</w:t>
      </w:r>
      <w:r w:rsidR="00DA2849" w:rsidRPr="00C72EF3">
        <w:rPr>
          <w:rFonts w:ascii="Times New Roman" w:eastAsia="Times New Roman" w:hAnsi="Times New Roman" w:cs="Times New Roman"/>
          <w:sz w:val="24"/>
          <w:szCs w:val="24"/>
        </w:rPr>
        <w:t xml:space="preserve">for promotion to professor. The provost makes the final decision on which university faculty are awarded raises. </w:t>
      </w:r>
    </w:p>
    <w:p w14:paraId="74E24D1C" w14:textId="77777777" w:rsidR="00C72EF3" w:rsidRDefault="00C72EF3"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p>
    <w:p w14:paraId="67C3D820" w14:textId="77777777" w:rsidR="00C72EF3" w:rsidRDefault="00DA2849"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r w:rsidRPr="00C72EF3">
        <w:rPr>
          <w:rFonts w:ascii="Times New Roman" w:eastAsia="Times New Roman" w:hAnsi="Times New Roman" w:cs="Times New Roman"/>
          <w:sz w:val="24"/>
          <w:szCs w:val="24"/>
        </w:rPr>
        <w:t xml:space="preserve">Faculty who apply for the PCP shall be considered to have passed their five-year post tenure review if the chair and the dean both state in their letters that the faculty member has met the standard for the raise. </w:t>
      </w:r>
    </w:p>
    <w:p w14:paraId="09C29B98" w14:textId="77777777" w:rsidR="00C72EF3" w:rsidRDefault="00C72EF3"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p>
    <w:p w14:paraId="2FE8400A" w14:textId="77777777" w:rsidR="00C72EF3" w:rsidRDefault="00DA2849"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who apply for PCP but do not receive positive reviews from the chair and/or dean will not automatically be deemed to have undergone a post-tenure review. However, if the chair and the dean agree that the faculty member meets the requirements for a successful post-tenure review according to the standard criteria, the dean will write a letter indicating that fact, and the faculty member will be deemed to have passed a post-tenure review. </w:t>
      </w:r>
    </w:p>
    <w:p w14:paraId="597F6EB3" w14:textId="77777777" w:rsidR="00C72EF3" w:rsidRDefault="00C72EF3"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p>
    <w:p w14:paraId="739CC8DC" w14:textId="77777777" w:rsidR="00C72EF3" w:rsidRDefault="00DA2849"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if the chair and/or dean do not support the PCP application, the faculty </w:t>
      </w:r>
      <w:r>
        <w:rPr>
          <w:rFonts w:ascii="Times New Roman" w:eastAsia="Times New Roman" w:hAnsi="Times New Roman" w:cs="Times New Roman"/>
          <w:sz w:val="24"/>
          <w:szCs w:val="24"/>
        </w:rPr>
        <w:lastRenderedPageBreak/>
        <w:t xml:space="preserve">member will be deemed to meet the post-tenure review standards if the provost awards him/her a PCP. </w:t>
      </w:r>
    </w:p>
    <w:p w14:paraId="512054A4" w14:textId="77777777" w:rsidR="00C72EF3" w:rsidRDefault="00C72EF3"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p>
    <w:p w14:paraId="00000039" w14:textId="18460451" w:rsidR="00A06505" w:rsidRDefault="00DA2849" w:rsidP="00C72EF3">
      <w:pPr>
        <w:pStyle w:val="ListParagraph"/>
        <w:widowControl w:val="0"/>
        <w:pBdr>
          <w:top w:val="nil"/>
          <w:left w:val="nil"/>
          <w:bottom w:val="nil"/>
          <w:right w:val="nil"/>
          <w:between w:val="nil"/>
        </w:pBdr>
        <w:spacing w:before="302" w:line="240" w:lineRule="auto"/>
        <w:ind w:left="1080" w:right="6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lack of support regarding post-tenure review from the chair and/or dean shall not be deemed a failure of the faculty member to pass a post-tenure review. Instead, those faculty who do not </w:t>
      </w:r>
      <w:r w:rsidR="00557542">
        <w:rPr>
          <w:rFonts w:ascii="Times New Roman" w:eastAsia="Times New Roman" w:hAnsi="Times New Roman" w:cs="Times New Roman"/>
          <w:sz w:val="24"/>
          <w:szCs w:val="24"/>
        </w:rPr>
        <w:t>receive PCP</w:t>
      </w:r>
      <w:r>
        <w:rPr>
          <w:rFonts w:ascii="Times New Roman" w:eastAsia="Times New Roman" w:hAnsi="Times New Roman" w:cs="Times New Roman"/>
          <w:sz w:val="24"/>
          <w:szCs w:val="24"/>
        </w:rPr>
        <w:t xml:space="preserve"> review support from the chair and dean will undergo reviews at their designated times according to the other sections of this post-tenure review document. If the designated year of review is the current academic year, the post-tenure review must occur before the end of that academic year. </w:t>
      </w:r>
    </w:p>
    <w:p w14:paraId="0000003A" w14:textId="77777777" w:rsidR="00A06505" w:rsidRDefault="00DA2849" w:rsidP="00557542">
      <w:pPr>
        <w:widowControl w:val="0"/>
        <w:pBdr>
          <w:top w:val="nil"/>
          <w:left w:val="nil"/>
          <w:bottom w:val="nil"/>
          <w:right w:val="nil"/>
          <w:between w:val="nil"/>
        </w:pBdr>
        <w:spacing w:before="811" w:line="240" w:lineRule="auto"/>
        <w:ind w:right="1315"/>
        <w:rPr>
          <w:b/>
          <w:sz w:val="24"/>
          <w:szCs w:val="24"/>
        </w:rPr>
      </w:pPr>
      <w:r>
        <w:br w:type="page"/>
      </w:r>
    </w:p>
    <w:p w14:paraId="750F7720" w14:textId="34FF80E6" w:rsidR="00EE5074" w:rsidRDefault="00EE5074" w:rsidP="00EE5074">
      <w:pPr>
        <w:widowControl w:val="0"/>
        <w:pBdr>
          <w:top w:val="nil"/>
          <w:left w:val="nil"/>
          <w:bottom w:val="nil"/>
          <w:right w:val="nil"/>
          <w:between w:val="nil"/>
        </w:pBdr>
        <w:spacing w:line="240" w:lineRule="auto"/>
        <w:ind w:right="1315"/>
        <w:rPr>
          <w:b/>
          <w:color w:val="000000"/>
          <w:sz w:val="24"/>
          <w:szCs w:val="24"/>
        </w:rPr>
      </w:pPr>
      <w:r w:rsidRPr="00EE5074">
        <w:rPr>
          <w:rFonts w:ascii="Times New Roman" w:hAnsi="Times New Roman" w:cs="Times New Roman"/>
          <w:b/>
          <w:color w:val="000000"/>
          <w:sz w:val="24"/>
          <w:szCs w:val="24"/>
        </w:rPr>
        <w:lastRenderedPageBreak/>
        <w:t>Appendix A</w:t>
      </w:r>
      <w:r>
        <w:rPr>
          <w:b/>
          <w:color w:val="000000"/>
          <w:sz w:val="24"/>
          <w:szCs w:val="24"/>
        </w:rPr>
        <w:t xml:space="preserve"> </w:t>
      </w:r>
      <w:r>
        <w:rPr>
          <w:b/>
          <w:color w:val="000000"/>
          <w:sz w:val="24"/>
          <w:szCs w:val="24"/>
        </w:rPr>
        <w:tab/>
      </w:r>
    </w:p>
    <w:p w14:paraId="5A3DB8BC" w14:textId="47F38AFB" w:rsidR="00EE5074" w:rsidRPr="00EE5074" w:rsidRDefault="00DA2849" w:rsidP="00EE5074">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r w:rsidRPr="00EE5074">
        <w:rPr>
          <w:rFonts w:ascii="Times New Roman" w:hAnsi="Times New Roman" w:cs="Times New Roman"/>
          <w:b/>
          <w:color w:val="000000"/>
          <w:sz w:val="24"/>
          <w:szCs w:val="24"/>
        </w:rPr>
        <w:t>Post-Tenure Review Portfolio</w:t>
      </w:r>
    </w:p>
    <w:p w14:paraId="6408ACFB" w14:textId="77777777" w:rsidR="00EE5074" w:rsidRDefault="00EE5074" w:rsidP="00EE5074">
      <w:pPr>
        <w:widowControl w:val="0"/>
        <w:pBdr>
          <w:top w:val="nil"/>
          <w:left w:val="nil"/>
          <w:bottom w:val="nil"/>
          <w:right w:val="nil"/>
          <w:between w:val="nil"/>
        </w:pBdr>
        <w:tabs>
          <w:tab w:val="left" w:pos="8010"/>
        </w:tabs>
        <w:spacing w:line="240" w:lineRule="auto"/>
        <w:jc w:val="center"/>
        <w:rPr>
          <w:rFonts w:ascii="Times New Roman" w:hAnsi="Times New Roman" w:cs="Times New Roman"/>
          <w:b/>
          <w:color w:val="000000"/>
          <w:sz w:val="24"/>
          <w:szCs w:val="24"/>
        </w:rPr>
      </w:pPr>
      <w:proofErr w:type="spellStart"/>
      <w:r w:rsidRPr="00EE5074">
        <w:rPr>
          <w:rFonts w:ascii="Times New Roman" w:hAnsi="Times New Roman" w:cs="Times New Roman"/>
          <w:b/>
          <w:color w:val="000000"/>
          <w:sz w:val="24"/>
          <w:szCs w:val="24"/>
        </w:rPr>
        <w:t>Moyes</w:t>
      </w:r>
      <w:proofErr w:type="spellEnd"/>
      <w:r w:rsidRPr="00EE5074">
        <w:rPr>
          <w:rFonts w:ascii="Times New Roman" w:hAnsi="Times New Roman" w:cs="Times New Roman"/>
          <w:b/>
          <w:color w:val="000000"/>
          <w:sz w:val="24"/>
          <w:szCs w:val="24"/>
        </w:rPr>
        <w:t xml:space="preserve"> College of Education</w:t>
      </w:r>
    </w:p>
    <w:p w14:paraId="646A3A82" w14:textId="77777777" w:rsidR="00EE5074" w:rsidRDefault="00EE5074" w:rsidP="00EE5074">
      <w:pPr>
        <w:widowControl w:val="0"/>
        <w:pBdr>
          <w:top w:val="nil"/>
          <w:left w:val="nil"/>
          <w:bottom w:val="nil"/>
          <w:right w:val="nil"/>
          <w:between w:val="nil"/>
        </w:pBdr>
        <w:spacing w:line="240" w:lineRule="auto"/>
        <w:ind w:right="1315"/>
        <w:jc w:val="center"/>
        <w:rPr>
          <w:rFonts w:ascii="Times New Roman" w:hAnsi="Times New Roman" w:cs="Times New Roman"/>
          <w:b/>
          <w:color w:val="000000"/>
          <w:sz w:val="24"/>
          <w:szCs w:val="24"/>
        </w:rPr>
      </w:pPr>
    </w:p>
    <w:p w14:paraId="40D20D85" w14:textId="54AF4EAE" w:rsidR="00EE5074" w:rsidRPr="00EE5074" w:rsidRDefault="00DA2849" w:rsidP="00EE5074">
      <w:pPr>
        <w:widowControl w:val="0"/>
        <w:pBdr>
          <w:top w:val="nil"/>
          <w:left w:val="nil"/>
          <w:bottom w:val="nil"/>
          <w:right w:val="nil"/>
          <w:between w:val="nil"/>
        </w:pBdr>
        <w:spacing w:line="240" w:lineRule="auto"/>
        <w:ind w:right="1315"/>
        <w:rPr>
          <w:rFonts w:ascii="Times New Roman" w:hAnsi="Times New Roman" w:cs="Times New Roman"/>
          <w:b/>
          <w:color w:val="000000"/>
          <w:sz w:val="24"/>
          <w:szCs w:val="24"/>
        </w:rPr>
      </w:pPr>
      <w:r w:rsidRPr="00EE5074">
        <w:rPr>
          <w:rFonts w:ascii="Times New Roman" w:hAnsi="Times New Roman" w:cs="Times New Roman"/>
          <w:color w:val="000000"/>
          <w:sz w:val="24"/>
          <w:szCs w:val="24"/>
        </w:rPr>
        <w:t xml:space="preserve">Candidates Name: </w:t>
      </w:r>
    </w:p>
    <w:p w14:paraId="0000003C" w14:textId="2C9DE7CA" w:rsidR="00A06505" w:rsidRPr="00EE5074" w:rsidRDefault="00DA2849"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Department: </w:t>
      </w:r>
    </w:p>
    <w:p w14:paraId="1DF84940" w14:textId="77777777" w:rsidR="00EE5074" w:rsidRDefault="00DA2849"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Date of Post-Tenure Review: </w:t>
      </w:r>
    </w:p>
    <w:p w14:paraId="0000003D" w14:textId="4CE590FE" w:rsidR="00A06505" w:rsidRPr="00EE5074" w:rsidRDefault="00DA2849"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Date Tenured: </w:t>
      </w:r>
    </w:p>
    <w:p w14:paraId="0B0CB69F" w14:textId="77777777" w:rsid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
    <w:p w14:paraId="0000003E" w14:textId="45F9610B" w:rsidR="00A06505" w:rsidRPr="00EE5074" w:rsidRDefault="00DA2849"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Brief summary</w:t>
      </w:r>
      <w:r w:rsidR="00EE5074">
        <w:rPr>
          <w:rFonts w:ascii="Times New Roman" w:hAnsi="Times New Roman" w:cs="Times New Roman"/>
          <w:color w:val="000000"/>
          <w:sz w:val="24"/>
          <w:szCs w:val="24"/>
        </w:rPr>
        <w:t xml:space="preserve"> (one to two pages) </w:t>
      </w:r>
      <w:r w:rsidRPr="00EE5074">
        <w:rPr>
          <w:rFonts w:ascii="Times New Roman" w:hAnsi="Times New Roman" w:cs="Times New Roman"/>
          <w:color w:val="000000"/>
          <w:sz w:val="24"/>
          <w:szCs w:val="24"/>
        </w:rPr>
        <w:t xml:space="preserve">of post-tenure accomplishment in teaching, scholarship, and </w:t>
      </w:r>
    </w:p>
    <w:p w14:paraId="0000003F" w14:textId="1C2B280B" w:rsidR="00A06505" w:rsidRDefault="00DA2849"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roofErr w:type="gramStart"/>
      <w:r w:rsidRPr="00EE5074">
        <w:rPr>
          <w:rFonts w:ascii="Times New Roman" w:hAnsi="Times New Roman" w:cs="Times New Roman"/>
          <w:color w:val="000000"/>
          <w:sz w:val="24"/>
          <w:szCs w:val="24"/>
        </w:rPr>
        <w:t>professionally</w:t>
      </w:r>
      <w:proofErr w:type="gramEnd"/>
      <w:r w:rsidRPr="00EE5074">
        <w:rPr>
          <w:rFonts w:ascii="Times New Roman" w:hAnsi="Times New Roman" w:cs="Times New Roman"/>
          <w:color w:val="000000"/>
          <w:sz w:val="24"/>
          <w:szCs w:val="24"/>
        </w:rPr>
        <w:t xml:space="preserve"> related service for the review period. </w:t>
      </w:r>
    </w:p>
    <w:p w14:paraId="3EABF1E2" w14:textId="36B219BC" w:rsid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
    <w:p w14:paraId="6992057B" w14:textId="51B9773A" w:rsid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
    <w:p w14:paraId="531FC2E9" w14:textId="6BCA93B3" w:rsid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 xml:space="preserve">Affix the </w:t>
      </w:r>
      <w:proofErr w:type="spellStart"/>
      <w:r w:rsidR="006B5958">
        <w:rPr>
          <w:rFonts w:ascii="Times New Roman" w:hAnsi="Times New Roman" w:cs="Times New Roman"/>
          <w:color w:val="000000"/>
          <w:sz w:val="24"/>
          <w:szCs w:val="24"/>
        </w:rPr>
        <w:t>Moyes</w:t>
      </w:r>
      <w:proofErr w:type="spellEnd"/>
      <w:r w:rsidR="006B5958">
        <w:rPr>
          <w:rFonts w:ascii="Times New Roman" w:hAnsi="Times New Roman" w:cs="Times New Roman"/>
          <w:color w:val="000000"/>
          <w:sz w:val="24"/>
          <w:szCs w:val="24"/>
        </w:rPr>
        <w:t xml:space="preserve"> College of Education Annual Re</w:t>
      </w:r>
      <w:r>
        <w:rPr>
          <w:rFonts w:ascii="Times New Roman" w:hAnsi="Times New Roman" w:cs="Times New Roman"/>
          <w:color w:val="000000"/>
          <w:sz w:val="24"/>
          <w:szCs w:val="24"/>
        </w:rPr>
        <w:t>view</w:t>
      </w:r>
      <w:r w:rsidR="00E075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each of the years covered by the post-tenure review.</w:t>
      </w:r>
    </w:p>
    <w:p w14:paraId="4595189D" w14:textId="77777777" w:rsidR="00EE5074" w:rsidRDefault="00EE507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3DAA998" w14:textId="77777777" w:rsid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
    <w:p w14:paraId="7820B100" w14:textId="77777777" w:rsidR="00EE5074" w:rsidRPr="00EE5074" w:rsidRDefault="00EE5074" w:rsidP="00EE5074">
      <w:pPr>
        <w:widowControl w:val="0"/>
        <w:pBdr>
          <w:top w:val="nil"/>
          <w:left w:val="nil"/>
          <w:bottom w:val="nil"/>
          <w:right w:val="nil"/>
          <w:between w:val="nil"/>
        </w:pBdr>
        <w:spacing w:line="240" w:lineRule="auto"/>
        <w:ind w:right="90"/>
        <w:rPr>
          <w:rFonts w:ascii="Times New Roman" w:hAnsi="Times New Roman" w:cs="Times New Roman"/>
          <w:color w:val="000000"/>
          <w:sz w:val="24"/>
          <w:szCs w:val="24"/>
        </w:rPr>
      </w:pPr>
    </w:p>
    <w:p w14:paraId="1A7225C3" w14:textId="77777777" w:rsidR="00EE5074" w:rsidRDefault="00EE507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267FE34" w14:textId="77777777" w:rsidR="00EE5074" w:rsidRPr="00EE5074" w:rsidRDefault="00DA2849" w:rsidP="00EE5074">
      <w:pPr>
        <w:widowControl w:val="0"/>
        <w:pBdr>
          <w:top w:val="nil"/>
          <w:left w:val="nil"/>
          <w:bottom w:val="nil"/>
          <w:right w:val="nil"/>
          <w:between w:val="nil"/>
        </w:pBdr>
        <w:ind w:right="90"/>
        <w:rPr>
          <w:rFonts w:ascii="Times New Roman" w:hAnsi="Times New Roman" w:cs="Times New Roman"/>
          <w:b/>
          <w:color w:val="000000"/>
          <w:sz w:val="24"/>
          <w:szCs w:val="24"/>
        </w:rPr>
      </w:pPr>
      <w:r w:rsidRPr="00EE5074">
        <w:rPr>
          <w:rFonts w:ascii="Times New Roman" w:hAnsi="Times New Roman" w:cs="Times New Roman"/>
          <w:b/>
          <w:color w:val="000000"/>
          <w:sz w:val="24"/>
          <w:szCs w:val="24"/>
        </w:rPr>
        <w:lastRenderedPageBreak/>
        <w:t>Appendix B</w:t>
      </w:r>
    </w:p>
    <w:p w14:paraId="1A368E31" w14:textId="77777777" w:rsidR="00EE5074" w:rsidRPr="00EE5074" w:rsidRDefault="00EE5074" w:rsidP="00EE5074">
      <w:pPr>
        <w:widowControl w:val="0"/>
        <w:pBdr>
          <w:top w:val="nil"/>
          <w:left w:val="nil"/>
          <w:bottom w:val="nil"/>
          <w:right w:val="nil"/>
          <w:between w:val="nil"/>
        </w:pBdr>
        <w:ind w:right="90"/>
        <w:jc w:val="center"/>
        <w:rPr>
          <w:rFonts w:ascii="Times New Roman" w:hAnsi="Times New Roman" w:cs="Times New Roman"/>
          <w:b/>
          <w:color w:val="000000"/>
          <w:sz w:val="24"/>
          <w:szCs w:val="24"/>
        </w:rPr>
      </w:pPr>
      <w:r w:rsidRPr="00EE5074">
        <w:rPr>
          <w:rFonts w:ascii="Times New Roman" w:hAnsi="Times New Roman" w:cs="Times New Roman"/>
          <w:b/>
          <w:color w:val="000000"/>
          <w:sz w:val="24"/>
          <w:szCs w:val="24"/>
        </w:rPr>
        <w:t>Post-Tenure Review Results</w:t>
      </w:r>
    </w:p>
    <w:p w14:paraId="00000056" w14:textId="6F2D1677" w:rsidR="00A06505" w:rsidRPr="00EE5074" w:rsidRDefault="00EE5074" w:rsidP="00EE5074">
      <w:pPr>
        <w:widowControl w:val="0"/>
        <w:pBdr>
          <w:top w:val="nil"/>
          <w:left w:val="nil"/>
          <w:bottom w:val="nil"/>
          <w:right w:val="nil"/>
          <w:between w:val="nil"/>
        </w:pBdr>
        <w:ind w:right="90"/>
        <w:jc w:val="center"/>
        <w:rPr>
          <w:rFonts w:ascii="Times New Roman" w:hAnsi="Times New Roman" w:cs="Times New Roman"/>
          <w:b/>
          <w:color w:val="000000"/>
          <w:sz w:val="24"/>
          <w:szCs w:val="24"/>
        </w:rPr>
      </w:pPr>
      <w:proofErr w:type="spellStart"/>
      <w:r w:rsidRPr="00EE5074">
        <w:rPr>
          <w:rFonts w:ascii="Times New Roman" w:hAnsi="Times New Roman" w:cs="Times New Roman"/>
          <w:b/>
          <w:color w:val="000000"/>
          <w:sz w:val="24"/>
          <w:szCs w:val="24"/>
        </w:rPr>
        <w:t>Moyes</w:t>
      </w:r>
      <w:proofErr w:type="spellEnd"/>
      <w:r w:rsidRPr="00EE5074">
        <w:rPr>
          <w:rFonts w:ascii="Times New Roman" w:hAnsi="Times New Roman" w:cs="Times New Roman"/>
          <w:b/>
          <w:color w:val="000000"/>
          <w:sz w:val="24"/>
          <w:szCs w:val="24"/>
        </w:rPr>
        <w:t xml:space="preserve"> College of Education</w:t>
      </w:r>
    </w:p>
    <w:p w14:paraId="622C0A42" w14:textId="77777777" w:rsidR="00EE5074" w:rsidRDefault="00EE5074" w:rsidP="00EE5074">
      <w:pPr>
        <w:widowControl w:val="0"/>
        <w:pBdr>
          <w:top w:val="nil"/>
          <w:left w:val="nil"/>
          <w:bottom w:val="nil"/>
          <w:right w:val="nil"/>
          <w:between w:val="nil"/>
        </w:pBdr>
        <w:ind w:right="90"/>
        <w:rPr>
          <w:rFonts w:ascii="Times New Roman" w:hAnsi="Times New Roman" w:cs="Times New Roman"/>
          <w:color w:val="000000"/>
          <w:sz w:val="24"/>
          <w:szCs w:val="24"/>
        </w:rPr>
      </w:pPr>
    </w:p>
    <w:p w14:paraId="298441EA" w14:textId="77777777" w:rsidR="00EE5074" w:rsidRDefault="00EE5074" w:rsidP="00EE5074">
      <w:pPr>
        <w:widowControl w:val="0"/>
        <w:pBdr>
          <w:top w:val="nil"/>
          <w:left w:val="nil"/>
          <w:bottom w:val="nil"/>
          <w:right w:val="nil"/>
          <w:between w:val="nil"/>
        </w:pBdr>
        <w:ind w:right="90"/>
        <w:rPr>
          <w:rFonts w:ascii="Times New Roman" w:hAnsi="Times New Roman" w:cs="Times New Roman"/>
          <w:color w:val="000000"/>
          <w:sz w:val="24"/>
          <w:szCs w:val="24"/>
        </w:rPr>
      </w:pPr>
      <w:r>
        <w:rPr>
          <w:rFonts w:ascii="Times New Roman" w:hAnsi="Times New Roman" w:cs="Times New Roman"/>
          <w:color w:val="000000"/>
          <w:sz w:val="24"/>
          <w:szCs w:val="24"/>
        </w:rPr>
        <w:t>Candidate’s Name:</w:t>
      </w:r>
    </w:p>
    <w:p w14:paraId="00000057" w14:textId="2DD3983E" w:rsidR="00A06505" w:rsidRPr="00EE5074" w:rsidRDefault="00DA2849" w:rsidP="00EE5074">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Department: </w:t>
      </w:r>
    </w:p>
    <w:p w14:paraId="1ACC3889" w14:textId="77777777" w:rsidR="00EE5074" w:rsidRDefault="00DA2849" w:rsidP="00EE5074">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Date of Post-Tenure Review: </w:t>
      </w:r>
    </w:p>
    <w:p w14:paraId="00000058" w14:textId="281077AF" w:rsidR="00A06505" w:rsidRPr="00EE5074" w:rsidRDefault="00DA2849" w:rsidP="00EE5074">
      <w:pPr>
        <w:widowControl w:val="0"/>
        <w:pBdr>
          <w:top w:val="nil"/>
          <w:left w:val="nil"/>
          <w:bottom w:val="nil"/>
          <w:right w:val="nil"/>
          <w:between w:val="nil"/>
        </w:pBdr>
        <w:ind w:right="90"/>
        <w:rPr>
          <w:rFonts w:ascii="Times New Roman" w:hAnsi="Times New Roman" w:cs="Times New Roman"/>
          <w:color w:val="000000"/>
          <w:sz w:val="24"/>
          <w:szCs w:val="24"/>
        </w:rPr>
        <w:sectPr w:rsidR="00A06505" w:rsidRPr="00EE5074">
          <w:headerReference w:type="default" r:id="rId7"/>
          <w:footerReference w:type="default" r:id="rId8"/>
          <w:pgSz w:w="12240" w:h="15840"/>
          <w:pgMar w:top="1440" w:right="1440" w:bottom="1440" w:left="1440" w:header="0" w:footer="720" w:gutter="0"/>
          <w:pgNumType w:start="1"/>
          <w:cols w:space="720"/>
          <w:titlePg/>
        </w:sectPr>
      </w:pPr>
      <w:r w:rsidRPr="00EE5074">
        <w:rPr>
          <w:rFonts w:ascii="Times New Roman" w:hAnsi="Times New Roman" w:cs="Times New Roman"/>
          <w:color w:val="000000"/>
          <w:sz w:val="24"/>
          <w:szCs w:val="24"/>
        </w:rPr>
        <w:t xml:space="preserve">Date Tenured: </w:t>
      </w:r>
    </w:p>
    <w:p w14:paraId="570AC8AA" w14:textId="77777777" w:rsidR="00DA09BF" w:rsidRDefault="00DA09BF" w:rsidP="00EE5074">
      <w:pPr>
        <w:widowControl w:val="0"/>
        <w:pBdr>
          <w:top w:val="nil"/>
          <w:left w:val="nil"/>
          <w:bottom w:val="nil"/>
          <w:right w:val="nil"/>
          <w:between w:val="nil"/>
        </w:pBdr>
        <w:ind w:right="90"/>
        <w:rPr>
          <w:rFonts w:ascii="Times New Roman" w:hAnsi="Times New Roman" w:cs="Times New Roman"/>
          <w:color w:val="000000"/>
          <w:sz w:val="24"/>
          <w:szCs w:val="24"/>
        </w:rPr>
      </w:pPr>
    </w:p>
    <w:p w14:paraId="563F9557" w14:textId="2F792EF2" w:rsidR="00EE5074" w:rsidRDefault="00DA2849" w:rsidP="00EE5074">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Post-Tenure Review Committee Members: </w:t>
      </w:r>
    </w:p>
    <w:tbl>
      <w:tblPr>
        <w:tblStyle w:val="TableGrid"/>
        <w:tblW w:w="8946"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550"/>
      </w:tblGrid>
      <w:tr w:rsidR="00EE5074" w:rsidRPr="00EE5074" w14:paraId="0F341CA4" w14:textId="77777777" w:rsidTr="00DA09BF">
        <w:tc>
          <w:tcPr>
            <w:tcW w:w="360" w:type="dxa"/>
          </w:tcPr>
          <w:p w14:paraId="69E72DF8" w14:textId="77777777" w:rsidR="00EE5074" w:rsidRP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1. </w:t>
            </w:r>
          </w:p>
        </w:tc>
        <w:tc>
          <w:tcPr>
            <w:tcW w:w="8586" w:type="dxa"/>
          </w:tcPr>
          <w:p w14:paraId="6B6B51F5" w14:textId="04DB0997" w:rsidR="00EE5074" w:rsidRP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 xml:space="preserve">Chair: </w:t>
            </w:r>
          </w:p>
        </w:tc>
      </w:tr>
      <w:tr w:rsidR="00EE5074" w:rsidRPr="00EE5074" w14:paraId="0B6E493C" w14:textId="77777777" w:rsidTr="00DA09BF">
        <w:tc>
          <w:tcPr>
            <w:tcW w:w="360" w:type="dxa"/>
          </w:tcPr>
          <w:p w14:paraId="5B6134F0" w14:textId="404D3810" w:rsidR="00EE5074" w:rsidRP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86" w:type="dxa"/>
          </w:tcPr>
          <w:p w14:paraId="3B38C1C4" w14:textId="377654D3"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Member:</w:t>
            </w:r>
          </w:p>
        </w:tc>
      </w:tr>
      <w:tr w:rsidR="00EE5074" w:rsidRPr="00EE5074" w14:paraId="032BF358" w14:textId="77777777" w:rsidTr="00DA09BF">
        <w:tc>
          <w:tcPr>
            <w:tcW w:w="360" w:type="dxa"/>
          </w:tcPr>
          <w:p w14:paraId="644CB5A6" w14:textId="0CA42A0E"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86" w:type="dxa"/>
          </w:tcPr>
          <w:p w14:paraId="6DE19C09" w14:textId="046155D1"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Member:</w:t>
            </w:r>
          </w:p>
        </w:tc>
      </w:tr>
      <w:tr w:rsidR="00EE5074" w:rsidRPr="00EE5074" w14:paraId="5714BB45" w14:textId="77777777" w:rsidTr="00DA09BF">
        <w:tc>
          <w:tcPr>
            <w:tcW w:w="360" w:type="dxa"/>
          </w:tcPr>
          <w:p w14:paraId="11864097" w14:textId="256F9063"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86" w:type="dxa"/>
          </w:tcPr>
          <w:p w14:paraId="6668A1D1" w14:textId="4A09757C"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Optional Member:</w:t>
            </w:r>
          </w:p>
        </w:tc>
      </w:tr>
      <w:tr w:rsidR="00EE5074" w:rsidRPr="00EE5074" w14:paraId="5CB6EE6C" w14:textId="77777777" w:rsidTr="00DA09BF">
        <w:tc>
          <w:tcPr>
            <w:tcW w:w="360" w:type="dxa"/>
          </w:tcPr>
          <w:p w14:paraId="78EC4376" w14:textId="40F12DF2"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86" w:type="dxa"/>
          </w:tcPr>
          <w:p w14:paraId="1AE4F5D0" w14:textId="1E42B9AF" w:rsidR="00EE5074" w:rsidRDefault="00EE5074" w:rsidP="00EE5074">
            <w:pPr>
              <w:widowControl w:val="0"/>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Optional Member:</w:t>
            </w:r>
          </w:p>
        </w:tc>
      </w:tr>
    </w:tbl>
    <w:p w14:paraId="698D8BD8" w14:textId="77777777" w:rsidR="00DA09BF" w:rsidRDefault="00DA09BF" w:rsidP="00EE5074">
      <w:pPr>
        <w:widowControl w:val="0"/>
        <w:pBdr>
          <w:top w:val="nil"/>
          <w:left w:val="nil"/>
          <w:bottom w:val="nil"/>
          <w:right w:val="nil"/>
          <w:between w:val="nil"/>
        </w:pBdr>
        <w:ind w:right="90"/>
        <w:rPr>
          <w:rFonts w:ascii="Times New Roman" w:hAnsi="Times New Roman" w:cs="Times New Roman"/>
          <w:color w:val="000000"/>
          <w:sz w:val="24"/>
          <w:szCs w:val="24"/>
        </w:rPr>
      </w:pPr>
    </w:p>
    <w:p w14:paraId="0000005A" w14:textId="126C8DEE" w:rsidR="00A06505" w:rsidRPr="00EE5074" w:rsidRDefault="00DA2849" w:rsidP="00EE5074">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Committee Findings: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DA09BF" w14:paraId="685D5053" w14:textId="77777777" w:rsidTr="00DA09BF">
        <w:tc>
          <w:tcPr>
            <w:tcW w:w="535" w:type="dxa"/>
            <w:tcBorders>
              <w:top w:val="single" w:sz="4" w:space="0" w:color="auto"/>
              <w:left w:val="single" w:sz="4" w:space="0" w:color="auto"/>
              <w:bottom w:val="single" w:sz="4" w:space="0" w:color="auto"/>
              <w:right w:val="single" w:sz="4" w:space="0" w:color="auto"/>
            </w:tcBorders>
          </w:tcPr>
          <w:p w14:paraId="6C639738" w14:textId="77777777" w:rsidR="00DA09BF" w:rsidRDefault="00DA09BF" w:rsidP="00EE5074">
            <w:pPr>
              <w:widowControl w:val="0"/>
              <w:jc w:val="both"/>
              <w:rPr>
                <w:rFonts w:ascii="Times New Roman" w:hAnsi="Times New Roman" w:cs="Times New Roman"/>
                <w:color w:val="000000"/>
                <w:sz w:val="24"/>
                <w:szCs w:val="24"/>
              </w:rPr>
            </w:pPr>
          </w:p>
        </w:tc>
        <w:tc>
          <w:tcPr>
            <w:tcW w:w="8815" w:type="dxa"/>
            <w:tcBorders>
              <w:left w:val="single" w:sz="4" w:space="0" w:color="auto"/>
            </w:tcBorders>
          </w:tcPr>
          <w:p w14:paraId="43AD3F2C" w14:textId="11D31912" w:rsidR="00DA09BF" w:rsidRDefault="00DA09BF" w:rsidP="00EE5074">
            <w:pPr>
              <w:widowControl w:val="0"/>
              <w:jc w:val="both"/>
              <w:rPr>
                <w:rFonts w:ascii="Times New Roman" w:hAnsi="Times New Roman" w:cs="Times New Roman"/>
                <w:color w:val="000000"/>
                <w:sz w:val="24"/>
                <w:szCs w:val="24"/>
              </w:rPr>
            </w:pPr>
            <w:r w:rsidRPr="00EE5074">
              <w:rPr>
                <w:rFonts w:ascii="Times New Roman" w:hAnsi="Times New Roman" w:cs="Times New Roman"/>
                <w:color w:val="000000"/>
                <w:sz w:val="24"/>
                <w:szCs w:val="24"/>
              </w:rPr>
              <w:t>Based on the evidence provided in the tenured faculty member’s post-tenure portfolio, the committee finds that the candidate receives a satisfactory review for teaching, scholarship, and service.</w:t>
            </w:r>
          </w:p>
        </w:tc>
      </w:tr>
      <w:tr w:rsidR="00DA09BF" w:rsidRPr="00DA09BF" w14:paraId="7E5EAC87" w14:textId="77777777" w:rsidTr="00DA09BF">
        <w:trPr>
          <w:trHeight w:val="170"/>
        </w:trPr>
        <w:tc>
          <w:tcPr>
            <w:tcW w:w="535" w:type="dxa"/>
            <w:tcBorders>
              <w:top w:val="single" w:sz="4" w:space="0" w:color="auto"/>
              <w:bottom w:val="single" w:sz="4" w:space="0" w:color="auto"/>
            </w:tcBorders>
          </w:tcPr>
          <w:p w14:paraId="36791E89" w14:textId="77777777" w:rsidR="00DA09BF" w:rsidRPr="00DA09BF" w:rsidRDefault="00DA09BF" w:rsidP="00EE5074">
            <w:pPr>
              <w:widowControl w:val="0"/>
              <w:jc w:val="both"/>
              <w:rPr>
                <w:rFonts w:ascii="Times New Roman" w:hAnsi="Times New Roman" w:cs="Times New Roman"/>
                <w:color w:val="000000"/>
                <w:sz w:val="12"/>
                <w:szCs w:val="24"/>
              </w:rPr>
            </w:pPr>
          </w:p>
        </w:tc>
        <w:tc>
          <w:tcPr>
            <w:tcW w:w="8815" w:type="dxa"/>
          </w:tcPr>
          <w:p w14:paraId="5F955159" w14:textId="77777777" w:rsidR="00DA09BF" w:rsidRPr="00DA09BF" w:rsidRDefault="00DA09BF" w:rsidP="00EE5074">
            <w:pPr>
              <w:widowControl w:val="0"/>
              <w:jc w:val="both"/>
              <w:rPr>
                <w:rFonts w:ascii="Times New Roman" w:hAnsi="Times New Roman" w:cs="Times New Roman"/>
                <w:color w:val="000000"/>
                <w:sz w:val="12"/>
                <w:szCs w:val="24"/>
              </w:rPr>
            </w:pPr>
          </w:p>
        </w:tc>
      </w:tr>
      <w:tr w:rsidR="00DA09BF" w14:paraId="524AEF8E" w14:textId="77777777" w:rsidTr="00DA09BF">
        <w:tc>
          <w:tcPr>
            <w:tcW w:w="535" w:type="dxa"/>
            <w:tcBorders>
              <w:top w:val="single" w:sz="4" w:space="0" w:color="auto"/>
              <w:left w:val="single" w:sz="4" w:space="0" w:color="auto"/>
              <w:bottom w:val="single" w:sz="4" w:space="0" w:color="auto"/>
              <w:right w:val="single" w:sz="4" w:space="0" w:color="auto"/>
            </w:tcBorders>
          </w:tcPr>
          <w:p w14:paraId="5EDF7C15" w14:textId="77777777" w:rsidR="00DA09BF" w:rsidRDefault="00DA09BF" w:rsidP="00EE5074">
            <w:pPr>
              <w:widowControl w:val="0"/>
              <w:jc w:val="both"/>
              <w:rPr>
                <w:rFonts w:ascii="Times New Roman" w:hAnsi="Times New Roman" w:cs="Times New Roman"/>
                <w:color w:val="000000"/>
                <w:sz w:val="24"/>
                <w:szCs w:val="24"/>
              </w:rPr>
            </w:pPr>
          </w:p>
        </w:tc>
        <w:tc>
          <w:tcPr>
            <w:tcW w:w="8815" w:type="dxa"/>
            <w:tcBorders>
              <w:left w:val="single" w:sz="4" w:space="0" w:color="auto"/>
            </w:tcBorders>
          </w:tcPr>
          <w:p w14:paraId="3EA81C1A" w14:textId="6B60418D" w:rsidR="00DA09BF" w:rsidRDefault="00DA09BF" w:rsidP="00EE5074">
            <w:pPr>
              <w:widowControl w:val="0"/>
              <w:jc w:val="both"/>
              <w:rPr>
                <w:rFonts w:ascii="Times New Roman" w:hAnsi="Times New Roman" w:cs="Times New Roman"/>
                <w:color w:val="000000"/>
                <w:sz w:val="24"/>
                <w:szCs w:val="24"/>
              </w:rPr>
            </w:pPr>
            <w:r w:rsidRPr="00EE5074">
              <w:rPr>
                <w:rFonts w:ascii="Times New Roman" w:hAnsi="Times New Roman" w:cs="Times New Roman"/>
                <w:color w:val="000000"/>
                <w:sz w:val="24"/>
                <w:szCs w:val="24"/>
              </w:rPr>
              <w:t>Based on the evidence provided in the tenured faculty member’s post-tenure portfolio, the committee finds that the candidate receives an unsatisfactory review for teaching, scholarship, and service.</w:t>
            </w:r>
          </w:p>
        </w:tc>
      </w:tr>
      <w:tr w:rsidR="00DA09BF" w14:paraId="0E9DB796" w14:textId="77777777" w:rsidTr="00DA09BF">
        <w:tc>
          <w:tcPr>
            <w:tcW w:w="535" w:type="dxa"/>
            <w:tcBorders>
              <w:top w:val="single" w:sz="4" w:space="0" w:color="auto"/>
            </w:tcBorders>
          </w:tcPr>
          <w:p w14:paraId="1FD4F9D2" w14:textId="77777777" w:rsidR="00DA09BF" w:rsidRDefault="00DA09BF" w:rsidP="00EE5074">
            <w:pPr>
              <w:widowControl w:val="0"/>
              <w:jc w:val="both"/>
              <w:rPr>
                <w:rFonts w:ascii="Times New Roman" w:hAnsi="Times New Roman" w:cs="Times New Roman"/>
                <w:color w:val="000000"/>
                <w:sz w:val="24"/>
                <w:szCs w:val="24"/>
              </w:rPr>
            </w:pPr>
          </w:p>
        </w:tc>
        <w:tc>
          <w:tcPr>
            <w:tcW w:w="8815" w:type="dxa"/>
          </w:tcPr>
          <w:p w14:paraId="04D8F307" w14:textId="77777777" w:rsidR="00DA09BF" w:rsidRDefault="00DA09BF" w:rsidP="00DA09BF">
            <w:pPr>
              <w:widowControl w:val="0"/>
              <w:pBdr>
                <w:top w:val="nil"/>
                <w:left w:val="nil"/>
                <w:bottom w:val="nil"/>
                <w:right w:val="nil"/>
                <w:between w:val="nil"/>
              </w:pBdr>
              <w:ind w:right="90"/>
              <w:rPr>
                <w:rFonts w:ascii="Times New Roman" w:hAnsi="Times New Roman" w:cs="Times New Roman"/>
                <w:color w:val="000000"/>
                <w:sz w:val="24"/>
                <w:szCs w:val="24"/>
              </w:rPr>
            </w:pPr>
          </w:p>
          <w:p w14:paraId="575316F1" w14:textId="4613E8DB" w:rsidR="00DA09BF" w:rsidRPr="00EE5074" w:rsidRDefault="00DA09BF" w:rsidP="00DA09BF">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Justification of unsatisfactory rating: </w:t>
            </w:r>
          </w:p>
          <w:p w14:paraId="4880C1F5" w14:textId="77777777" w:rsidR="00DA09BF" w:rsidRDefault="00DA09BF" w:rsidP="00EE5074">
            <w:pPr>
              <w:widowControl w:val="0"/>
              <w:jc w:val="both"/>
              <w:rPr>
                <w:rFonts w:ascii="Times New Roman" w:hAnsi="Times New Roman" w:cs="Times New Roman"/>
                <w:color w:val="000000"/>
                <w:sz w:val="24"/>
                <w:szCs w:val="24"/>
              </w:rPr>
            </w:pPr>
          </w:p>
        </w:tc>
      </w:tr>
      <w:tr w:rsidR="00DA09BF" w14:paraId="64DB1B2D" w14:textId="77777777" w:rsidTr="00DA09BF">
        <w:tc>
          <w:tcPr>
            <w:tcW w:w="535" w:type="dxa"/>
          </w:tcPr>
          <w:p w14:paraId="5398B854" w14:textId="77777777" w:rsidR="00DA09BF" w:rsidRDefault="00DA09BF" w:rsidP="00EE5074">
            <w:pPr>
              <w:widowControl w:val="0"/>
              <w:jc w:val="both"/>
              <w:rPr>
                <w:rFonts w:ascii="Times New Roman" w:hAnsi="Times New Roman" w:cs="Times New Roman"/>
                <w:color w:val="000000"/>
                <w:sz w:val="24"/>
                <w:szCs w:val="24"/>
              </w:rPr>
            </w:pPr>
          </w:p>
        </w:tc>
        <w:tc>
          <w:tcPr>
            <w:tcW w:w="8815" w:type="dxa"/>
          </w:tcPr>
          <w:p w14:paraId="27E14745" w14:textId="67BD4F8E" w:rsidR="00DA09BF" w:rsidRPr="00EE5074" w:rsidRDefault="00DA09BF" w:rsidP="00DA09BF">
            <w:pPr>
              <w:widowControl w:val="0"/>
              <w:pBdr>
                <w:top w:val="nil"/>
                <w:left w:val="nil"/>
                <w:bottom w:val="nil"/>
                <w:right w:val="nil"/>
                <w:between w:val="nil"/>
              </w:pBdr>
              <w:ind w:right="90"/>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Committee recommendations to address deficiencies noted include: </w:t>
            </w:r>
          </w:p>
          <w:p w14:paraId="24E44941" w14:textId="77777777" w:rsidR="00DA09BF" w:rsidRDefault="00DA09BF" w:rsidP="00EE5074">
            <w:pPr>
              <w:widowControl w:val="0"/>
              <w:jc w:val="both"/>
              <w:rPr>
                <w:rFonts w:ascii="Times New Roman" w:hAnsi="Times New Roman" w:cs="Times New Roman"/>
                <w:color w:val="000000"/>
                <w:sz w:val="24"/>
                <w:szCs w:val="24"/>
              </w:rPr>
            </w:pPr>
          </w:p>
        </w:tc>
      </w:tr>
      <w:tr w:rsidR="00DA09BF" w14:paraId="283A166C" w14:textId="77777777" w:rsidTr="00DA09BF">
        <w:tc>
          <w:tcPr>
            <w:tcW w:w="535" w:type="dxa"/>
            <w:tcBorders>
              <w:bottom w:val="single" w:sz="4" w:space="0" w:color="auto"/>
            </w:tcBorders>
          </w:tcPr>
          <w:p w14:paraId="44AE8203" w14:textId="77777777" w:rsidR="00DA09BF" w:rsidRDefault="00DA09BF" w:rsidP="00EE5074">
            <w:pPr>
              <w:widowControl w:val="0"/>
              <w:jc w:val="both"/>
              <w:rPr>
                <w:rFonts w:ascii="Times New Roman" w:hAnsi="Times New Roman" w:cs="Times New Roman"/>
                <w:color w:val="000000"/>
                <w:sz w:val="24"/>
                <w:szCs w:val="24"/>
              </w:rPr>
            </w:pPr>
          </w:p>
        </w:tc>
        <w:tc>
          <w:tcPr>
            <w:tcW w:w="8815" w:type="dxa"/>
          </w:tcPr>
          <w:p w14:paraId="340186F8" w14:textId="77777777" w:rsidR="00DA09BF" w:rsidRDefault="00DA09BF" w:rsidP="00EE5074">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OR</w:t>
            </w:r>
          </w:p>
          <w:p w14:paraId="75BE7FCF" w14:textId="60F1B6E0" w:rsidR="00DA09BF" w:rsidRDefault="00DA09BF" w:rsidP="00EE5074">
            <w:pPr>
              <w:widowControl w:val="0"/>
              <w:jc w:val="both"/>
              <w:rPr>
                <w:rFonts w:ascii="Times New Roman" w:hAnsi="Times New Roman" w:cs="Times New Roman"/>
                <w:color w:val="000000"/>
                <w:sz w:val="24"/>
                <w:szCs w:val="24"/>
              </w:rPr>
            </w:pPr>
          </w:p>
        </w:tc>
      </w:tr>
      <w:tr w:rsidR="00DA09BF" w14:paraId="0680B6D8" w14:textId="77777777" w:rsidTr="00DA09BF">
        <w:tc>
          <w:tcPr>
            <w:tcW w:w="535" w:type="dxa"/>
            <w:tcBorders>
              <w:top w:val="single" w:sz="4" w:space="0" w:color="auto"/>
              <w:left w:val="single" w:sz="4" w:space="0" w:color="auto"/>
              <w:bottom w:val="single" w:sz="4" w:space="0" w:color="auto"/>
              <w:right w:val="single" w:sz="4" w:space="0" w:color="auto"/>
            </w:tcBorders>
          </w:tcPr>
          <w:p w14:paraId="577AE834" w14:textId="77777777" w:rsidR="00DA09BF" w:rsidRDefault="00DA09BF" w:rsidP="00EE5074">
            <w:pPr>
              <w:widowControl w:val="0"/>
              <w:jc w:val="both"/>
              <w:rPr>
                <w:rFonts w:ascii="Times New Roman" w:hAnsi="Times New Roman" w:cs="Times New Roman"/>
                <w:color w:val="000000"/>
                <w:sz w:val="24"/>
                <w:szCs w:val="24"/>
              </w:rPr>
            </w:pPr>
          </w:p>
        </w:tc>
        <w:tc>
          <w:tcPr>
            <w:tcW w:w="8815" w:type="dxa"/>
            <w:tcBorders>
              <w:left w:val="single" w:sz="4" w:space="0" w:color="auto"/>
            </w:tcBorders>
          </w:tcPr>
          <w:p w14:paraId="212AEADC" w14:textId="66B1B66F" w:rsidR="00DA09BF" w:rsidRDefault="00DA09BF" w:rsidP="00EE5074">
            <w:pPr>
              <w:widowControl w:val="0"/>
              <w:jc w:val="both"/>
              <w:rPr>
                <w:rFonts w:ascii="Times New Roman" w:hAnsi="Times New Roman" w:cs="Times New Roman"/>
                <w:color w:val="000000"/>
                <w:sz w:val="24"/>
                <w:szCs w:val="24"/>
              </w:rPr>
            </w:pPr>
            <w:r w:rsidRPr="00EE5074">
              <w:rPr>
                <w:rFonts w:ascii="Times New Roman" w:hAnsi="Times New Roman" w:cs="Times New Roman"/>
                <w:color w:val="000000"/>
                <w:sz w:val="24"/>
                <w:szCs w:val="24"/>
              </w:rPr>
              <w:t>The committee recommends that the candidate meets with the department chair and dean to establish a plan to address deficiencies and attach that plan to this post-tenure review.</w:t>
            </w:r>
          </w:p>
        </w:tc>
      </w:tr>
    </w:tbl>
    <w:p w14:paraId="00000062" w14:textId="1370AA96" w:rsidR="00A06505" w:rsidRPr="00EE5074" w:rsidRDefault="00DA2849">
      <w:pPr>
        <w:widowControl w:val="0"/>
        <w:pBdr>
          <w:top w:val="nil"/>
          <w:left w:val="nil"/>
          <w:bottom w:val="nil"/>
          <w:right w:val="nil"/>
          <w:between w:val="nil"/>
        </w:pBdr>
        <w:spacing w:before="590"/>
        <w:ind w:right="3744"/>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Committee Chair: </w:t>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Pr="00EE5074">
        <w:rPr>
          <w:rFonts w:ascii="Times New Roman" w:hAnsi="Times New Roman" w:cs="Times New Roman"/>
          <w:color w:val="000000"/>
          <w:sz w:val="24"/>
          <w:szCs w:val="24"/>
        </w:rPr>
        <w:t xml:space="preserve">Date: </w:t>
      </w:r>
    </w:p>
    <w:p w14:paraId="00000063" w14:textId="4CA3151D" w:rsidR="00A06505" w:rsidRPr="00EE5074" w:rsidRDefault="00DA2849">
      <w:pPr>
        <w:widowControl w:val="0"/>
        <w:pBdr>
          <w:top w:val="nil"/>
          <w:left w:val="nil"/>
          <w:bottom w:val="nil"/>
          <w:right w:val="nil"/>
          <w:between w:val="nil"/>
        </w:pBdr>
        <w:spacing w:before="312"/>
        <w:ind w:right="3744"/>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Department Chair: </w:t>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Pr="00EE5074">
        <w:rPr>
          <w:rFonts w:ascii="Times New Roman" w:hAnsi="Times New Roman" w:cs="Times New Roman"/>
          <w:color w:val="000000"/>
          <w:sz w:val="24"/>
          <w:szCs w:val="24"/>
        </w:rPr>
        <w:t xml:space="preserve">Date: </w:t>
      </w:r>
    </w:p>
    <w:p w14:paraId="00000064" w14:textId="5943DBEC" w:rsidR="00A06505" w:rsidRPr="00EE5074" w:rsidRDefault="00DA2849">
      <w:pPr>
        <w:widowControl w:val="0"/>
        <w:pBdr>
          <w:top w:val="nil"/>
          <w:left w:val="nil"/>
          <w:bottom w:val="nil"/>
          <w:right w:val="nil"/>
          <w:between w:val="nil"/>
        </w:pBdr>
        <w:spacing w:before="312"/>
        <w:ind w:right="3744"/>
        <w:rPr>
          <w:rFonts w:ascii="Times New Roman" w:hAnsi="Times New Roman" w:cs="Times New Roman"/>
          <w:color w:val="000000"/>
          <w:sz w:val="24"/>
          <w:szCs w:val="24"/>
        </w:rPr>
      </w:pPr>
      <w:r w:rsidRPr="00EE5074">
        <w:rPr>
          <w:rFonts w:ascii="Times New Roman" w:hAnsi="Times New Roman" w:cs="Times New Roman"/>
          <w:color w:val="000000"/>
          <w:sz w:val="24"/>
          <w:szCs w:val="24"/>
        </w:rPr>
        <w:t xml:space="preserve">College Dean: </w:t>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bookmarkStart w:id="0" w:name="_GoBack"/>
      <w:bookmarkEnd w:id="0"/>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00DA09BF">
        <w:rPr>
          <w:rFonts w:ascii="Times New Roman" w:hAnsi="Times New Roman" w:cs="Times New Roman"/>
          <w:color w:val="000000"/>
          <w:sz w:val="24"/>
          <w:szCs w:val="24"/>
        </w:rPr>
        <w:tab/>
      </w:r>
      <w:r w:rsidRPr="00EE5074">
        <w:rPr>
          <w:rFonts w:ascii="Times New Roman" w:hAnsi="Times New Roman" w:cs="Times New Roman"/>
          <w:color w:val="000000"/>
          <w:sz w:val="24"/>
          <w:szCs w:val="24"/>
        </w:rPr>
        <w:t xml:space="preserve">Date: </w:t>
      </w:r>
    </w:p>
    <w:sectPr w:rsidR="00A06505" w:rsidRPr="00EE5074">
      <w:type w:val="continuous"/>
      <w:pgSz w:w="12240" w:h="15840"/>
      <w:pgMar w:top="1440" w:right="1440" w:bottom="1440" w:left="1440" w:header="0" w:footer="720" w:gutter="0"/>
      <w:cols w:space="720" w:equalWidth="0">
        <w:col w:w="122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B2FC" w14:textId="77777777" w:rsidR="00C126EF" w:rsidRDefault="00C126EF">
      <w:pPr>
        <w:spacing w:line="240" w:lineRule="auto"/>
      </w:pPr>
      <w:r>
        <w:separator/>
      </w:r>
    </w:p>
  </w:endnote>
  <w:endnote w:type="continuationSeparator" w:id="0">
    <w:p w14:paraId="36935BC3" w14:textId="77777777" w:rsidR="00C126EF" w:rsidRDefault="00C12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01167"/>
      <w:docPartObj>
        <w:docPartGallery w:val="Page Numbers (Bottom of Page)"/>
        <w:docPartUnique/>
      </w:docPartObj>
    </w:sdtPr>
    <w:sdtEndPr>
      <w:rPr>
        <w:noProof/>
      </w:rPr>
    </w:sdtEndPr>
    <w:sdtContent>
      <w:p w14:paraId="7FF3FF8B" w14:textId="489F9373" w:rsidR="00557542" w:rsidRDefault="00557542">
        <w:pPr>
          <w:pStyle w:val="Footer"/>
          <w:jc w:val="center"/>
        </w:pPr>
        <w:r>
          <w:fldChar w:fldCharType="begin"/>
        </w:r>
        <w:r>
          <w:instrText xml:space="preserve"> PAGE   \* MERGEFORMAT </w:instrText>
        </w:r>
        <w:r>
          <w:fldChar w:fldCharType="separate"/>
        </w:r>
        <w:r w:rsidR="007E694C">
          <w:rPr>
            <w:noProof/>
          </w:rPr>
          <w:t>8</w:t>
        </w:r>
        <w:r>
          <w:rPr>
            <w:noProof/>
          </w:rPr>
          <w:fldChar w:fldCharType="end"/>
        </w:r>
      </w:p>
    </w:sdtContent>
  </w:sdt>
  <w:p w14:paraId="1D166A2D" w14:textId="77777777" w:rsidR="00557542" w:rsidRDefault="0055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CEE61" w14:textId="77777777" w:rsidR="00C126EF" w:rsidRDefault="00C126EF">
      <w:pPr>
        <w:spacing w:line="240" w:lineRule="auto"/>
      </w:pPr>
      <w:r>
        <w:separator/>
      </w:r>
    </w:p>
  </w:footnote>
  <w:footnote w:type="continuationSeparator" w:id="0">
    <w:p w14:paraId="0B67C0F4" w14:textId="77777777" w:rsidR="00C126EF" w:rsidRDefault="00C12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7" w14:textId="77777777" w:rsidR="00A06505" w:rsidRDefault="00DA2849">
    <w:pPr>
      <w:widowControl w:val="0"/>
      <w:spacing w:before="561"/>
      <w:ind w:left="1823" w:right="1636"/>
      <w:jc w:val="right"/>
      <w:rPr>
        <w:i/>
      </w:rPr>
    </w:pPr>
    <w:proofErr w:type="spellStart"/>
    <w:r>
      <w:rPr>
        <w:i/>
      </w:rPr>
      <w:t>Moyes</w:t>
    </w:r>
    <w:proofErr w:type="spellEnd"/>
    <w:r>
      <w:rPr>
        <w:i/>
      </w:rPr>
      <w:t xml:space="preserve"> College of Education Post-Tenure Review </w:t>
    </w:r>
  </w:p>
  <w:p w14:paraId="00000068" w14:textId="77777777" w:rsidR="00A06505" w:rsidRDefault="00A065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19BE"/>
    <w:multiLevelType w:val="hybridMultilevel"/>
    <w:tmpl w:val="AC20E6CE"/>
    <w:lvl w:ilvl="0" w:tplc="2D08D0B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5D5C6D"/>
    <w:multiLevelType w:val="hybridMultilevel"/>
    <w:tmpl w:val="1C44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18528F"/>
    <w:multiLevelType w:val="hybridMultilevel"/>
    <w:tmpl w:val="C46843DC"/>
    <w:lvl w:ilvl="0" w:tplc="7BBC70D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34E45"/>
    <w:multiLevelType w:val="hybridMultilevel"/>
    <w:tmpl w:val="D318D220"/>
    <w:lvl w:ilvl="0" w:tplc="2D08D0B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AC4079"/>
    <w:multiLevelType w:val="hybridMultilevel"/>
    <w:tmpl w:val="7B1AFDF6"/>
    <w:lvl w:ilvl="0" w:tplc="2D08D0B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05"/>
    <w:rsid w:val="001D350F"/>
    <w:rsid w:val="0020764A"/>
    <w:rsid w:val="002225E7"/>
    <w:rsid w:val="002F02A1"/>
    <w:rsid w:val="00557542"/>
    <w:rsid w:val="005E4DED"/>
    <w:rsid w:val="006B5958"/>
    <w:rsid w:val="007E694C"/>
    <w:rsid w:val="00A06505"/>
    <w:rsid w:val="00C126EF"/>
    <w:rsid w:val="00C72EF3"/>
    <w:rsid w:val="00DA09BF"/>
    <w:rsid w:val="00DA2849"/>
    <w:rsid w:val="00E075A0"/>
    <w:rsid w:val="00EE5074"/>
    <w:rsid w:val="00F90DA2"/>
    <w:rsid w:val="00FC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8424"/>
  <w15:docId w15:val="{9F7FCC01-E5DE-4FB2-8B7E-882BB6B0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D350F"/>
    <w:pPr>
      <w:ind w:left="720"/>
      <w:contextualSpacing/>
    </w:pPr>
  </w:style>
  <w:style w:type="paragraph" w:styleId="Header">
    <w:name w:val="header"/>
    <w:basedOn w:val="Normal"/>
    <w:link w:val="HeaderChar"/>
    <w:uiPriority w:val="99"/>
    <w:unhideWhenUsed/>
    <w:rsid w:val="00557542"/>
    <w:pPr>
      <w:tabs>
        <w:tab w:val="center" w:pos="4680"/>
        <w:tab w:val="right" w:pos="9360"/>
      </w:tabs>
      <w:spacing w:line="240" w:lineRule="auto"/>
    </w:pPr>
  </w:style>
  <w:style w:type="character" w:customStyle="1" w:styleId="HeaderChar">
    <w:name w:val="Header Char"/>
    <w:basedOn w:val="DefaultParagraphFont"/>
    <w:link w:val="Header"/>
    <w:uiPriority w:val="99"/>
    <w:rsid w:val="00557542"/>
  </w:style>
  <w:style w:type="paragraph" w:styleId="Footer">
    <w:name w:val="footer"/>
    <w:basedOn w:val="Normal"/>
    <w:link w:val="FooterChar"/>
    <w:uiPriority w:val="99"/>
    <w:unhideWhenUsed/>
    <w:rsid w:val="00557542"/>
    <w:pPr>
      <w:tabs>
        <w:tab w:val="center" w:pos="4680"/>
        <w:tab w:val="right" w:pos="9360"/>
      </w:tabs>
      <w:spacing w:line="240" w:lineRule="auto"/>
    </w:pPr>
  </w:style>
  <w:style w:type="character" w:customStyle="1" w:styleId="FooterChar">
    <w:name w:val="Footer Char"/>
    <w:basedOn w:val="DefaultParagraphFont"/>
    <w:link w:val="Footer"/>
    <w:uiPriority w:val="99"/>
    <w:rsid w:val="00557542"/>
  </w:style>
  <w:style w:type="table" w:styleId="TableGrid">
    <w:name w:val="Table Grid"/>
    <w:basedOn w:val="TableNormal"/>
    <w:uiPriority w:val="39"/>
    <w:rsid w:val="00EE5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Hadley</dc:creator>
  <cp:lastModifiedBy>Kristin Hadley</cp:lastModifiedBy>
  <cp:revision>2</cp:revision>
  <dcterms:created xsi:type="dcterms:W3CDTF">2020-02-13T23:16:00Z</dcterms:created>
  <dcterms:modified xsi:type="dcterms:W3CDTF">2020-02-13T23:16:00Z</dcterms:modified>
</cp:coreProperties>
</file>